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72E0" w14:textId="77777777" w:rsidR="00BF1A03" w:rsidRDefault="00BF1A03" w:rsidP="005B2EEC">
      <w:pPr>
        <w:jc w:val="center"/>
        <w:rPr>
          <w:b/>
          <w:sz w:val="40"/>
          <w:szCs w:val="40"/>
          <w:u w:val="single"/>
        </w:rPr>
      </w:pPr>
    </w:p>
    <w:tbl>
      <w:tblPr>
        <w:tblStyle w:val="TableGrid"/>
        <w:tblW w:w="0" w:type="auto"/>
        <w:tblLook w:val="04A0" w:firstRow="1" w:lastRow="0" w:firstColumn="1" w:lastColumn="0" w:noHBand="0" w:noVBand="1"/>
      </w:tblPr>
      <w:tblGrid>
        <w:gridCol w:w="2695"/>
        <w:gridCol w:w="4680"/>
        <w:gridCol w:w="1975"/>
      </w:tblGrid>
      <w:tr w:rsidR="00BF1A03" w:rsidRPr="00CE3780" w14:paraId="099CD96B" w14:textId="77777777" w:rsidTr="00181E06">
        <w:tc>
          <w:tcPr>
            <w:tcW w:w="2695" w:type="dxa"/>
          </w:tcPr>
          <w:p w14:paraId="4133F68E" w14:textId="77777777" w:rsidR="00BF1A03" w:rsidRPr="00CE3780" w:rsidRDefault="00BF1A03" w:rsidP="00181E06">
            <w:pPr>
              <w:rPr>
                <w:bCs/>
                <w:sz w:val="28"/>
                <w:szCs w:val="28"/>
              </w:rPr>
            </w:pPr>
            <w:r w:rsidRPr="00CE3780">
              <w:rPr>
                <w:bCs/>
                <w:sz w:val="28"/>
                <w:szCs w:val="28"/>
              </w:rPr>
              <w:t>Title of Policy:</w:t>
            </w:r>
          </w:p>
        </w:tc>
        <w:tc>
          <w:tcPr>
            <w:tcW w:w="4680" w:type="dxa"/>
          </w:tcPr>
          <w:p w14:paraId="018686FF" w14:textId="77777777" w:rsidR="00BF1A03" w:rsidRPr="00CE3780" w:rsidRDefault="00BF1A03" w:rsidP="00181E06">
            <w:pPr>
              <w:jc w:val="center"/>
              <w:rPr>
                <w:b/>
                <w:sz w:val="28"/>
                <w:szCs w:val="28"/>
              </w:rPr>
            </w:pPr>
            <w:r w:rsidRPr="00CE3780">
              <w:rPr>
                <w:b/>
                <w:sz w:val="28"/>
                <w:szCs w:val="28"/>
              </w:rPr>
              <w:t>Accounts Collection Policy</w:t>
            </w:r>
          </w:p>
        </w:tc>
        <w:tc>
          <w:tcPr>
            <w:tcW w:w="1975" w:type="dxa"/>
          </w:tcPr>
          <w:p w14:paraId="20F59D36" w14:textId="77777777" w:rsidR="00BF1A03" w:rsidRPr="00CE3780" w:rsidRDefault="00BF1A03" w:rsidP="00181E06">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BF1A03" w:rsidRPr="00CE3780" w14:paraId="728F80AD" w14:textId="77777777" w:rsidTr="00181E06">
        <w:tc>
          <w:tcPr>
            <w:tcW w:w="2695" w:type="dxa"/>
          </w:tcPr>
          <w:p w14:paraId="614D90B5" w14:textId="77777777" w:rsidR="00BF1A03" w:rsidRPr="00CE3780" w:rsidRDefault="00BF1A03" w:rsidP="00181E06">
            <w:pPr>
              <w:rPr>
                <w:bCs/>
                <w:sz w:val="28"/>
                <w:szCs w:val="28"/>
              </w:rPr>
            </w:pPr>
            <w:r w:rsidRPr="00CE3780">
              <w:rPr>
                <w:bCs/>
                <w:sz w:val="28"/>
                <w:szCs w:val="28"/>
              </w:rPr>
              <w:t>Section #:</w:t>
            </w:r>
          </w:p>
        </w:tc>
        <w:tc>
          <w:tcPr>
            <w:tcW w:w="4680" w:type="dxa"/>
          </w:tcPr>
          <w:p w14:paraId="77B5661A" w14:textId="77777777" w:rsidR="00BF1A03" w:rsidRPr="00CE3780" w:rsidRDefault="00BF1A03" w:rsidP="00181E06">
            <w:pPr>
              <w:jc w:val="center"/>
              <w:rPr>
                <w:bCs/>
                <w:sz w:val="28"/>
                <w:szCs w:val="28"/>
              </w:rPr>
            </w:pPr>
            <w:r w:rsidRPr="00CE3780">
              <w:rPr>
                <w:bCs/>
                <w:sz w:val="28"/>
                <w:szCs w:val="28"/>
              </w:rPr>
              <w:t>Section 1</w:t>
            </w:r>
          </w:p>
        </w:tc>
        <w:tc>
          <w:tcPr>
            <w:tcW w:w="1975" w:type="dxa"/>
          </w:tcPr>
          <w:p w14:paraId="051ADCA6" w14:textId="77777777" w:rsidR="00BF1A03" w:rsidRPr="00CE3780" w:rsidRDefault="00BF1A03" w:rsidP="00181E06">
            <w:pPr>
              <w:jc w:val="center"/>
              <w:rPr>
                <w:bCs/>
                <w:sz w:val="28"/>
                <w:szCs w:val="28"/>
              </w:rPr>
            </w:pPr>
          </w:p>
        </w:tc>
      </w:tr>
      <w:tr w:rsidR="00BF1A03" w:rsidRPr="00CE3780" w14:paraId="2CFC0531" w14:textId="77777777" w:rsidTr="00181E06">
        <w:tc>
          <w:tcPr>
            <w:tcW w:w="2695" w:type="dxa"/>
          </w:tcPr>
          <w:p w14:paraId="06486BC8" w14:textId="77777777" w:rsidR="00BF1A03" w:rsidRPr="00CE3780" w:rsidRDefault="00BF1A03" w:rsidP="00181E06">
            <w:pPr>
              <w:rPr>
                <w:bCs/>
                <w:sz w:val="28"/>
                <w:szCs w:val="28"/>
              </w:rPr>
            </w:pPr>
            <w:r w:rsidRPr="00CE3780">
              <w:rPr>
                <w:bCs/>
                <w:sz w:val="28"/>
                <w:szCs w:val="28"/>
              </w:rPr>
              <w:t>Approval Date:</w:t>
            </w:r>
          </w:p>
        </w:tc>
        <w:tc>
          <w:tcPr>
            <w:tcW w:w="4680" w:type="dxa"/>
          </w:tcPr>
          <w:p w14:paraId="235B7FBF" w14:textId="183A5AB1" w:rsidR="00BF1A03" w:rsidRPr="00CE3780" w:rsidRDefault="0079684B" w:rsidP="00181E06">
            <w:pPr>
              <w:jc w:val="center"/>
              <w:rPr>
                <w:b/>
                <w:sz w:val="28"/>
                <w:szCs w:val="28"/>
                <w:u w:val="single"/>
              </w:rPr>
            </w:pPr>
            <w:r>
              <w:rPr>
                <w:b/>
                <w:sz w:val="28"/>
                <w:szCs w:val="28"/>
                <w:u w:val="single"/>
              </w:rPr>
              <w:t>February 9, 2021</w:t>
            </w:r>
          </w:p>
        </w:tc>
        <w:tc>
          <w:tcPr>
            <w:tcW w:w="1975" w:type="dxa"/>
          </w:tcPr>
          <w:p w14:paraId="08407CAF" w14:textId="77777777" w:rsidR="00BF1A03" w:rsidRPr="00CE3780" w:rsidRDefault="00BF1A03" w:rsidP="00181E06">
            <w:pPr>
              <w:jc w:val="center"/>
              <w:rPr>
                <w:b/>
                <w:sz w:val="28"/>
                <w:szCs w:val="28"/>
                <w:u w:val="single"/>
              </w:rPr>
            </w:pPr>
          </w:p>
        </w:tc>
      </w:tr>
      <w:tr w:rsidR="00BF1A03" w:rsidRPr="00CE3780" w14:paraId="4D272717" w14:textId="77777777" w:rsidTr="00181E06">
        <w:tc>
          <w:tcPr>
            <w:tcW w:w="2695" w:type="dxa"/>
          </w:tcPr>
          <w:p w14:paraId="5B5FE471" w14:textId="77777777" w:rsidR="00BF1A03" w:rsidRPr="00CE3780" w:rsidRDefault="00BF1A03" w:rsidP="00181E06">
            <w:pPr>
              <w:rPr>
                <w:bCs/>
                <w:sz w:val="28"/>
                <w:szCs w:val="28"/>
              </w:rPr>
            </w:pPr>
            <w:r w:rsidRPr="00CE3780">
              <w:rPr>
                <w:bCs/>
                <w:sz w:val="28"/>
                <w:szCs w:val="28"/>
              </w:rPr>
              <w:t>Revision Date:</w:t>
            </w:r>
          </w:p>
        </w:tc>
        <w:tc>
          <w:tcPr>
            <w:tcW w:w="4680" w:type="dxa"/>
          </w:tcPr>
          <w:p w14:paraId="08CBB35F" w14:textId="77777777" w:rsidR="00BF1A03" w:rsidRPr="00CE3780" w:rsidRDefault="00BF1A03" w:rsidP="00181E06">
            <w:pPr>
              <w:jc w:val="center"/>
              <w:rPr>
                <w:b/>
                <w:sz w:val="28"/>
                <w:szCs w:val="28"/>
                <w:u w:val="single"/>
              </w:rPr>
            </w:pPr>
          </w:p>
        </w:tc>
        <w:tc>
          <w:tcPr>
            <w:tcW w:w="1975" w:type="dxa"/>
          </w:tcPr>
          <w:p w14:paraId="09AD01B5" w14:textId="1D9E0A48" w:rsidR="00BF1A03" w:rsidRPr="00BF1A03" w:rsidRDefault="00BF1A03" w:rsidP="00181E06">
            <w:pPr>
              <w:jc w:val="center"/>
              <w:rPr>
                <w:bCs/>
                <w:sz w:val="28"/>
                <w:szCs w:val="28"/>
              </w:rPr>
            </w:pPr>
            <w:r>
              <w:rPr>
                <w:bCs/>
                <w:sz w:val="28"/>
                <w:szCs w:val="28"/>
              </w:rPr>
              <w:t>Policy 1.1</w:t>
            </w:r>
          </w:p>
        </w:tc>
      </w:tr>
    </w:tbl>
    <w:p w14:paraId="28880EF9" w14:textId="06B33510" w:rsidR="007922E4" w:rsidRDefault="00AB0C24">
      <w:r>
        <w:tab/>
      </w:r>
    </w:p>
    <w:p w14:paraId="59DD9140" w14:textId="50E57880" w:rsidR="00CB7C49" w:rsidRPr="007922E4" w:rsidRDefault="00AB0C24" w:rsidP="00920591">
      <w:pPr>
        <w:rPr>
          <w:b/>
          <w:sz w:val="28"/>
          <w:szCs w:val="28"/>
        </w:rPr>
      </w:pPr>
      <w:r w:rsidRPr="005B2EEC">
        <w:rPr>
          <w:b/>
          <w:sz w:val="28"/>
          <w:szCs w:val="28"/>
        </w:rPr>
        <w:t>POLICY STATEMENT</w:t>
      </w:r>
      <w:r w:rsidRPr="005B2EEC">
        <w:rPr>
          <w:sz w:val="24"/>
          <w:szCs w:val="24"/>
        </w:rPr>
        <w:tab/>
      </w:r>
      <w:r w:rsidRPr="005B2EEC">
        <w:rPr>
          <w:sz w:val="24"/>
          <w:szCs w:val="24"/>
        </w:rPr>
        <w:tab/>
      </w:r>
    </w:p>
    <w:p w14:paraId="559C24E4" w14:textId="32434D20" w:rsidR="00920591" w:rsidRDefault="00920591" w:rsidP="00920591">
      <w:pPr>
        <w:rPr>
          <w:sz w:val="24"/>
          <w:szCs w:val="24"/>
        </w:rPr>
      </w:pPr>
      <w:r>
        <w:rPr>
          <w:sz w:val="24"/>
          <w:szCs w:val="24"/>
        </w:rPr>
        <w:t>Accounts cut-off for non-payment or discontinued accounts shall be subject to this policy.</w:t>
      </w:r>
    </w:p>
    <w:p w14:paraId="4F9A8E52" w14:textId="40565E7E" w:rsidR="00920591" w:rsidRPr="007922E4" w:rsidRDefault="00920591" w:rsidP="007922E4">
      <w:pPr>
        <w:pStyle w:val="ListParagraph"/>
        <w:numPr>
          <w:ilvl w:val="0"/>
          <w:numId w:val="9"/>
        </w:numPr>
        <w:rPr>
          <w:sz w:val="24"/>
          <w:szCs w:val="24"/>
        </w:rPr>
      </w:pPr>
      <w:r w:rsidRPr="007922E4">
        <w:rPr>
          <w:sz w:val="24"/>
          <w:szCs w:val="24"/>
        </w:rPr>
        <w:t>The Manager</w:t>
      </w:r>
      <w:r w:rsidR="00675CBF" w:rsidRPr="007922E4">
        <w:rPr>
          <w:sz w:val="24"/>
          <w:szCs w:val="24"/>
        </w:rPr>
        <w:t xml:space="preserve"> and/or designee</w:t>
      </w:r>
      <w:r w:rsidRPr="007922E4">
        <w:rPr>
          <w:sz w:val="24"/>
          <w:szCs w:val="24"/>
        </w:rPr>
        <w:t xml:space="preserve"> shall place the account in one of the following categories for collection:</w:t>
      </w:r>
    </w:p>
    <w:p w14:paraId="6612FF5C" w14:textId="118D1739" w:rsidR="00920591" w:rsidRDefault="00920591" w:rsidP="00920591">
      <w:pPr>
        <w:pStyle w:val="ListParagraph"/>
        <w:numPr>
          <w:ilvl w:val="0"/>
          <w:numId w:val="7"/>
        </w:numPr>
        <w:rPr>
          <w:sz w:val="24"/>
          <w:szCs w:val="24"/>
        </w:rPr>
      </w:pPr>
      <w:r>
        <w:rPr>
          <w:sz w:val="24"/>
          <w:szCs w:val="24"/>
        </w:rPr>
        <w:t>KWD may continue to pursue collection by any appropriate action, including but not limited to retaining counsel to pursue possible legal remedies;</w:t>
      </w:r>
    </w:p>
    <w:p w14:paraId="6CC0A611" w14:textId="12FF0127" w:rsidR="00920591" w:rsidRDefault="00920591" w:rsidP="00920591">
      <w:pPr>
        <w:pStyle w:val="ListParagraph"/>
        <w:numPr>
          <w:ilvl w:val="0"/>
          <w:numId w:val="7"/>
        </w:numPr>
        <w:rPr>
          <w:sz w:val="24"/>
          <w:szCs w:val="24"/>
        </w:rPr>
      </w:pPr>
      <w:r>
        <w:rPr>
          <w:sz w:val="24"/>
          <w:szCs w:val="24"/>
        </w:rPr>
        <w:t>KWD may turn the account over to an outside agent or agency for collection; or</w:t>
      </w:r>
    </w:p>
    <w:p w14:paraId="5BDBFB26" w14:textId="674C51A0" w:rsidR="00920591" w:rsidRDefault="00920591" w:rsidP="00920591">
      <w:pPr>
        <w:pStyle w:val="ListParagraph"/>
        <w:numPr>
          <w:ilvl w:val="0"/>
          <w:numId w:val="7"/>
        </w:numPr>
        <w:rPr>
          <w:sz w:val="24"/>
          <w:szCs w:val="24"/>
        </w:rPr>
      </w:pPr>
      <w:r>
        <w:rPr>
          <w:sz w:val="24"/>
          <w:szCs w:val="24"/>
        </w:rPr>
        <w:t>KWD determines that collection is not feasible and writes off the account</w:t>
      </w:r>
    </w:p>
    <w:p w14:paraId="75E45305" w14:textId="5351D63C" w:rsidR="00920591" w:rsidRDefault="00920591" w:rsidP="00920591">
      <w:pPr>
        <w:pStyle w:val="ListParagraph"/>
        <w:rPr>
          <w:sz w:val="24"/>
          <w:szCs w:val="24"/>
        </w:rPr>
      </w:pPr>
    </w:p>
    <w:p w14:paraId="05949989" w14:textId="434C5B20" w:rsidR="00920591" w:rsidRDefault="00675CBF" w:rsidP="007922E4">
      <w:pPr>
        <w:pStyle w:val="ListParagraph"/>
        <w:numPr>
          <w:ilvl w:val="0"/>
          <w:numId w:val="9"/>
        </w:numPr>
        <w:rPr>
          <w:sz w:val="24"/>
          <w:szCs w:val="24"/>
        </w:rPr>
      </w:pPr>
      <w:r>
        <w:rPr>
          <w:sz w:val="24"/>
          <w:szCs w:val="24"/>
        </w:rPr>
        <w:t>As needed</w:t>
      </w:r>
      <w:r w:rsidR="00920591">
        <w:rPr>
          <w:sz w:val="24"/>
          <w:szCs w:val="24"/>
        </w:rPr>
        <w:t xml:space="preserve"> the Manager will report;</w:t>
      </w:r>
    </w:p>
    <w:p w14:paraId="68F688CC" w14:textId="72B58A14" w:rsidR="00920591" w:rsidRDefault="00920591" w:rsidP="00920591">
      <w:pPr>
        <w:pStyle w:val="ListParagraph"/>
        <w:numPr>
          <w:ilvl w:val="0"/>
          <w:numId w:val="8"/>
        </w:numPr>
        <w:rPr>
          <w:sz w:val="24"/>
          <w:szCs w:val="24"/>
        </w:rPr>
      </w:pPr>
      <w:r>
        <w:rPr>
          <w:sz w:val="24"/>
          <w:szCs w:val="24"/>
        </w:rPr>
        <w:t>The manager shall report any accounts that are to be written off to the board.</w:t>
      </w:r>
    </w:p>
    <w:p w14:paraId="397F1328" w14:textId="5B0EC2F7" w:rsidR="00920591" w:rsidRDefault="00920591" w:rsidP="00920591">
      <w:pPr>
        <w:pStyle w:val="ListParagraph"/>
        <w:rPr>
          <w:sz w:val="24"/>
          <w:szCs w:val="24"/>
        </w:rPr>
      </w:pPr>
    </w:p>
    <w:p w14:paraId="605A6AF9" w14:textId="430C8C81" w:rsidR="00920591" w:rsidRDefault="00920591" w:rsidP="007922E4">
      <w:pPr>
        <w:pStyle w:val="ListParagraph"/>
        <w:numPr>
          <w:ilvl w:val="0"/>
          <w:numId w:val="9"/>
        </w:numPr>
        <w:rPr>
          <w:sz w:val="24"/>
          <w:szCs w:val="24"/>
        </w:rPr>
      </w:pPr>
      <w:r>
        <w:rPr>
          <w:sz w:val="24"/>
          <w:szCs w:val="24"/>
        </w:rPr>
        <w:t>The Board shall approve or disapprove any determination that an account shall be written off.</w:t>
      </w:r>
    </w:p>
    <w:p w14:paraId="6EC1A736" w14:textId="1638A4B4" w:rsidR="00920591" w:rsidRDefault="00920591" w:rsidP="00920591">
      <w:pPr>
        <w:pStyle w:val="ListParagraph"/>
        <w:ind w:left="0"/>
        <w:rPr>
          <w:sz w:val="24"/>
          <w:szCs w:val="24"/>
        </w:rPr>
      </w:pPr>
    </w:p>
    <w:p w14:paraId="16133807" w14:textId="04086565" w:rsidR="00920591" w:rsidRDefault="00920591" w:rsidP="007922E4">
      <w:pPr>
        <w:pStyle w:val="ListParagraph"/>
        <w:numPr>
          <w:ilvl w:val="0"/>
          <w:numId w:val="9"/>
        </w:numPr>
        <w:rPr>
          <w:sz w:val="24"/>
          <w:szCs w:val="24"/>
        </w:rPr>
      </w:pPr>
      <w:r>
        <w:rPr>
          <w:sz w:val="24"/>
          <w:szCs w:val="24"/>
        </w:rPr>
        <w:t>Until payment has been made, no further service in KWD’s service area will be rendered to the person(s) whose name appears on the account or to person(s) who received service from the account.</w:t>
      </w:r>
    </w:p>
    <w:p w14:paraId="2E32EF39" w14:textId="731028C8" w:rsidR="00920591" w:rsidRDefault="00920591" w:rsidP="00920591">
      <w:pPr>
        <w:pStyle w:val="ListParagraph"/>
        <w:ind w:left="0"/>
        <w:rPr>
          <w:sz w:val="24"/>
          <w:szCs w:val="24"/>
        </w:rPr>
      </w:pPr>
    </w:p>
    <w:p w14:paraId="4DF98102" w14:textId="6F21267B" w:rsidR="00920591" w:rsidRDefault="00920591" w:rsidP="007922E4">
      <w:pPr>
        <w:pStyle w:val="ListParagraph"/>
        <w:numPr>
          <w:ilvl w:val="0"/>
          <w:numId w:val="9"/>
        </w:numPr>
        <w:rPr>
          <w:sz w:val="24"/>
          <w:szCs w:val="24"/>
        </w:rPr>
      </w:pPr>
      <w:r>
        <w:rPr>
          <w:sz w:val="24"/>
          <w:szCs w:val="24"/>
        </w:rPr>
        <w:t>In the event a complaint has been filed in accordance with the established Complaint Procedure contesting the propriety of the charges on such account, then collection of such account may not be pursued until the governing board has taken final action on the complaint.</w:t>
      </w:r>
    </w:p>
    <w:p w14:paraId="2D689A09" w14:textId="20EA1168" w:rsidR="00920591" w:rsidRDefault="00920591" w:rsidP="00920591">
      <w:pPr>
        <w:pStyle w:val="ListParagraph"/>
        <w:ind w:left="0"/>
        <w:rPr>
          <w:sz w:val="24"/>
          <w:szCs w:val="24"/>
        </w:rPr>
      </w:pPr>
    </w:p>
    <w:p w14:paraId="4EAA76DB" w14:textId="52CAA8FC" w:rsidR="00920591" w:rsidRDefault="00920591" w:rsidP="007922E4">
      <w:pPr>
        <w:pStyle w:val="ListParagraph"/>
        <w:numPr>
          <w:ilvl w:val="0"/>
          <w:numId w:val="9"/>
        </w:numPr>
        <w:rPr>
          <w:sz w:val="24"/>
          <w:szCs w:val="24"/>
        </w:rPr>
      </w:pPr>
      <w:r>
        <w:rPr>
          <w:sz w:val="24"/>
          <w:szCs w:val="24"/>
        </w:rPr>
        <w:t>Any person(s) on whose account collection procedures have been instituted who has made full restitution to KWD and/or its agents</w:t>
      </w:r>
      <w:r w:rsidR="00234D3B">
        <w:rPr>
          <w:sz w:val="24"/>
          <w:szCs w:val="24"/>
        </w:rPr>
        <w:t xml:space="preserve"> </w:t>
      </w:r>
      <w:r>
        <w:rPr>
          <w:sz w:val="24"/>
          <w:szCs w:val="24"/>
        </w:rPr>
        <w:t>will not be refused service.  However,</w:t>
      </w:r>
      <w:r w:rsidR="00234D3B">
        <w:rPr>
          <w:sz w:val="24"/>
          <w:szCs w:val="24"/>
        </w:rPr>
        <w:t xml:space="preserve"> </w:t>
      </w:r>
      <w:r>
        <w:rPr>
          <w:sz w:val="24"/>
          <w:szCs w:val="24"/>
        </w:rPr>
        <w:t>the person(s) may be required</w:t>
      </w:r>
      <w:r w:rsidR="00234D3B">
        <w:rPr>
          <w:sz w:val="24"/>
          <w:szCs w:val="24"/>
        </w:rPr>
        <w:t xml:space="preserve"> </w:t>
      </w:r>
      <w:r>
        <w:rPr>
          <w:sz w:val="24"/>
          <w:szCs w:val="24"/>
        </w:rPr>
        <w:t>to pay an additional special service cha</w:t>
      </w:r>
      <w:r w:rsidR="00234D3B">
        <w:rPr>
          <w:sz w:val="24"/>
          <w:szCs w:val="24"/>
        </w:rPr>
        <w:t>rge before service is provided, in accordance with KWD’s policy.</w:t>
      </w:r>
    </w:p>
    <w:p w14:paraId="3345EB23" w14:textId="1C5A73F6" w:rsidR="00234D3B" w:rsidRDefault="00234D3B" w:rsidP="00920591">
      <w:pPr>
        <w:pStyle w:val="ListParagraph"/>
        <w:ind w:left="0"/>
        <w:rPr>
          <w:sz w:val="24"/>
          <w:szCs w:val="24"/>
        </w:rPr>
      </w:pPr>
    </w:p>
    <w:p w14:paraId="551F5A77" w14:textId="72B49F9A" w:rsidR="00234D3B" w:rsidRDefault="00234D3B" w:rsidP="007922E4">
      <w:pPr>
        <w:pStyle w:val="ListParagraph"/>
        <w:numPr>
          <w:ilvl w:val="0"/>
          <w:numId w:val="9"/>
        </w:numPr>
        <w:rPr>
          <w:sz w:val="24"/>
          <w:szCs w:val="24"/>
        </w:rPr>
      </w:pPr>
      <w:r>
        <w:rPr>
          <w:sz w:val="24"/>
          <w:szCs w:val="24"/>
        </w:rPr>
        <w:t>Any fees or additional costs to KWD for collection of an account shall be borne by the person(s)whose name(s) appears on the account.</w:t>
      </w:r>
    </w:p>
    <w:p w14:paraId="56328CB2" w14:textId="6C4C765B" w:rsidR="00234D3B" w:rsidRDefault="00234D3B" w:rsidP="00920591">
      <w:pPr>
        <w:pStyle w:val="ListParagraph"/>
        <w:ind w:left="0"/>
        <w:rPr>
          <w:sz w:val="24"/>
          <w:szCs w:val="24"/>
        </w:rPr>
      </w:pPr>
    </w:p>
    <w:p w14:paraId="4C657E43" w14:textId="7D07E0AD" w:rsidR="00234D3B" w:rsidRPr="00920591" w:rsidRDefault="00234D3B" w:rsidP="007922E4">
      <w:pPr>
        <w:pStyle w:val="ListParagraph"/>
        <w:numPr>
          <w:ilvl w:val="0"/>
          <w:numId w:val="9"/>
        </w:numPr>
        <w:rPr>
          <w:sz w:val="24"/>
          <w:szCs w:val="24"/>
        </w:rPr>
      </w:pPr>
      <w:r>
        <w:rPr>
          <w:sz w:val="24"/>
          <w:szCs w:val="24"/>
        </w:rPr>
        <w:t>KWD</w:t>
      </w:r>
      <w:r w:rsidR="00675CBF">
        <w:rPr>
          <w:sz w:val="24"/>
          <w:szCs w:val="24"/>
        </w:rPr>
        <w:t xml:space="preserve"> via current collection agency</w:t>
      </w:r>
      <w:r>
        <w:rPr>
          <w:sz w:val="24"/>
          <w:szCs w:val="24"/>
        </w:rPr>
        <w:t xml:space="preserve"> may report accounts covered under this policy that have not made restitution to a</w:t>
      </w:r>
      <w:r w:rsidR="00675CBF">
        <w:rPr>
          <w:sz w:val="24"/>
          <w:szCs w:val="24"/>
        </w:rPr>
        <w:t xml:space="preserve"> </w:t>
      </w:r>
      <w:r>
        <w:rPr>
          <w:sz w:val="24"/>
          <w:szCs w:val="24"/>
        </w:rPr>
        <w:t>credit reporting agency.</w:t>
      </w:r>
    </w:p>
    <w:sectPr w:rsidR="00234D3B" w:rsidRPr="0092059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E07120" w14:textId="77777777" w:rsidR="00F12F53" w:rsidRDefault="00F12F53" w:rsidP="00AB0C24">
      <w:pPr>
        <w:spacing w:after="0" w:line="240" w:lineRule="auto"/>
      </w:pPr>
      <w:r>
        <w:separator/>
      </w:r>
    </w:p>
  </w:endnote>
  <w:endnote w:type="continuationSeparator" w:id="0">
    <w:p w14:paraId="4AA97617" w14:textId="77777777" w:rsidR="00F12F53" w:rsidRDefault="00F12F53"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34A32" w14:textId="1E88F81B" w:rsidR="00CF7ABA" w:rsidRDefault="00BF1A03">
    <w:pPr>
      <w:pStyle w:val="Footer"/>
    </w:pPr>
    <w:r>
      <w:t>KWD POLICY MANUAL</w:t>
    </w:r>
    <w:r>
      <w:ptab w:relativeTo="margin" w:alignment="center" w:leader="none"/>
    </w:r>
    <w:r>
      <w:t>Section 1.1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CCF5D" w14:textId="77777777" w:rsidR="00F12F53" w:rsidRDefault="00F12F53" w:rsidP="00AB0C24">
      <w:pPr>
        <w:spacing w:after="0" w:line="240" w:lineRule="auto"/>
      </w:pPr>
      <w:r>
        <w:separator/>
      </w:r>
    </w:p>
  </w:footnote>
  <w:footnote w:type="continuationSeparator" w:id="0">
    <w:p w14:paraId="68C3E6BD" w14:textId="77777777" w:rsidR="00F12F53" w:rsidRDefault="00F12F53"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64594"/>
    <w:multiLevelType w:val="hybridMultilevel"/>
    <w:tmpl w:val="420A04C6"/>
    <w:lvl w:ilvl="0" w:tplc="C216536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66764AC"/>
    <w:multiLevelType w:val="hybridMultilevel"/>
    <w:tmpl w:val="15BAEEBC"/>
    <w:lvl w:ilvl="0" w:tplc="3438B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76575A"/>
    <w:multiLevelType w:val="hybridMultilevel"/>
    <w:tmpl w:val="FD14B0FE"/>
    <w:lvl w:ilvl="0" w:tplc="369457D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10498"/>
    <w:multiLevelType w:val="hybridMultilevel"/>
    <w:tmpl w:val="4DE25808"/>
    <w:lvl w:ilvl="0" w:tplc="375E8C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4C73126C"/>
    <w:multiLevelType w:val="hybridMultilevel"/>
    <w:tmpl w:val="961E7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C71C63"/>
    <w:multiLevelType w:val="hybridMultilevel"/>
    <w:tmpl w:val="302A429E"/>
    <w:lvl w:ilvl="0" w:tplc="975E9C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5"/>
  </w:num>
  <w:num w:numId="2">
    <w:abstractNumId w:val="8"/>
  </w:num>
  <w:num w:numId="3">
    <w:abstractNumId w:val="1"/>
  </w:num>
  <w:num w:numId="4">
    <w:abstractNumId w:val="0"/>
  </w:num>
  <w:num w:numId="5">
    <w:abstractNumId w:val="3"/>
  </w:num>
  <w:num w:numId="6">
    <w:abstractNumId w:val="7"/>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C55BC"/>
    <w:rsid w:val="000D774A"/>
    <w:rsid w:val="000E652C"/>
    <w:rsid w:val="00234D3B"/>
    <w:rsid w:val="00237E46"/>
    <w:rsid w:val="00284EA8"/>
    <w:rsid w:val="002F2184"/>
    <w:rsid w:val="005B2EEC"/>
    <w:rsid w:val="00633579"/>
    <w:rsid w:val="00675CBF"/>
    <w:rsid w:val="006E1146"/>
    <w:rsid w:val="007922E4"/>
    <w:rsid w:val="0079684B"/>
    <w:rsid w:val="00837AF8"/>
    <w:rsid w:val="00920591"/>
    <w:rsid w:val="009D6EE1"/>
    <w:rsid w:val="00A50DC7"/>
    <w:rsid w:val="00AB0C24"/>
    <w:rsid w:val="00BF1A03"/>
    <w:rsid w:val="00C80DBC"/>
    <w:rsid w:val="00C810CC"/>
    <w:rsid w:val="00CB7C49"/>
    <w:rsid w:val="00CF7ABA"/>
    <w:rsid w:val="00F12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BF1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7</cp:revision>
  <cp:lastPrinted>2019-04-30T18:34:00Z</cp:lastPrinted>
  <dcterms:created xsi:type="dcterms:W3CDTF">2019-08-20T13:15:00Z</dcterms:created>
  <dcterms:modified xsi:type="dcterms:W3CDTF">2021-02-09T14:40:00Z</dcterms:modified>
</cp:coreProperties>
</file>