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DD3814" w:rsidRPr="00CE3780" w14:paraId="4174AE8D" w14:textId="77777777" w:rsidTr="00966DBE">
        <w:tc>
          <w:tcPr>
            <w:tcW w:w="2695" w:type="dxa"/>
          </w:tcPr>
          <w:p w14:paraId="3F65DC99" w14:textId="77777777" w:rsidR="00DD3814" w:rsidRPr="00CE3780" w:rsidRDefault="00DD3814" w:rsidP="00966DBE">
            <w:pPr>
              <w:rPr>
                <w:bCs/>
                <w:sz w:val="28"/>
                <w:szCs w:val="28"/>
              </w:rPr>
            </w:pPr>
            <w:r w:rsidRPr="00CE3780">
              <w:rPr>
                <w:bCs/>
                <w:sz w:val="28"/>
                <w:szCs w:val="28"/>
              </w:rPr>
              <w:t>Title of Policy:</w:t>
            </w:r>
          </w:p>
        </w:tc>
        <w:tc>
          <w:tcPr>
            <w:tcW w:w="4680" w:type="dxa"/>
          </w:tcPr>
          <w:p w14:paraId="41CCA051" w14:textId="10319C80" w:rsidR="00DD3814" w:rsidRPr="00CE3780" w:rsidRDefault="00DD3814" w:rsidP="00966DBE">
            <w:pPr>
              <w:jc w:val="center"/>
              <w:rPr>
                <w:b/>
                <w:sz w:val="28"/>
                <w:szCs w:val="28"/>
              </w:rPr>
            </w:pPr>
            <w:r>
              <w:rPr>
                <w:b/>
                <w:sz w:val="28"/>
                <w:szCs w:val="28"/>
              </w:rPr>
              <w:t>Utility Line Extensions</w:t>
            </w:r>
          </w:p>
        </w:tc>
        <w:tc>
          <w:tcPr>
            <w:tcW w:w="1975" w:type="dxa"/>
          </w:tcPr>
          <w:p w14:paraId="622F08E2" w14:textId="77777777" w:rsidR="00DD3814" w:rsidRPr="00CE3780" w:rsidRDefault="00DD3814"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1-2</w:t>
            </w:r>
          </w:p>
        </w:tc>
      </w:tr>
      <w:tr w:rsidR="00DD3814" w:rsidRPr="00CE3780" w14:paraId="1808E669" w14:textId="77777777" w:rsidTr="00966DBE">
        <w:tc>
          <w:tcPr>
            <w:tcW w:w="2695" w:type="dxa"/>
          </w:tcPr>
          <w:p w14:paraId="34593901" w14:textId="77777777" w:rsidR="00DD3814" w:rsidRPr="00CE3780" w:rsidRDefault="00DD3814" w:rsidP="00966DBE">
            <w:pPr>
              <w:rPr>
                <w:bCs/>
                <w:sz w:val="28"/>
                <w:szCs w:val="28"/>
              </w:rPr>
            </w:pPr>
            <w:r w:rsidRPr="00CE3780">
              <w:rPr>
                <w:bCs/>
                <w:sz w:val="28"/>
                <w:szCs w:val="28"/>
              </w:rPr>
              <w:t>Section #:</w:t>
            </w:r>
          </w:p>
        </w:tc>
        <w:tc>
          <w:tcPr>
            <w:tcW w:w="4680" w:type="dxa"/>
          </w:tcPr>
          <w:p w14:paraId="5DECB6C6" w14:textId="69A9F9E9" w:rsidR="00DD3814" w:rsidRPr="00CE3780" w:rsidRDefault="00DD3814" w:rsidP="00966DBE">
            <w:pPr>
              <w:jc w:val="center"/>
              <w:rPr>
                <w:bCs/>
                <w:sz w:val="28"/>
                <w:szCs w:val="28"/>
              </w:rPr>
            </w:pPr>
            <w:r w:rsidRPr="00CE3780">
              <w:rPr>
                <w:bCs/>
                <w:sz w:val="28"/>
                <w:szCs w:val="28"/>
              </w:rPr>
              <w:t xml:space="preserve">Section </w:t>
            </w:r>
            <w:r>
              <w:rPr>
                <w:bCs/>
                <w:sz w:val="28"/>
                <w:szCs w:val="28"/>
              </w:rPr>
              <w:t>25</w:t>
            </w:r>
          </w:p>
        </w:tc>
        <w:tc>
          <w:tcPr>
            <w:tcW w:w="1975" w:type="dxa"/>
          </w:tcPr>
          <w:p w14:paraId="5D2CBAD8" w14:textId="77777777" w:rsidR="00DD3814" w:rsidRPr="00CE3780" w:rsidRDefault="00DD3814" w:rsidP="00966DBE">
            <w:pPr>
              <w:jc w:val="center"/>
              <w:rPr>
                <w:bCs/>
                <w:sz w:val="28"/>
                <w:szCs w:val="28"/>
              </w:rPr>
            </w:pPr>
          </w:p>
        </w:tc>
      </w:tr>
      <w:tr w:rsidR="00DD3814" w:rsidRPr="00CE3780" w14:paraId="57E2BD91" w14:textId="77777777" w:rsidTr="00966DBE">
        <w:tc>
          <w:tcPr>
            <w:tcW w:w="2695" w:type="dxa"/>
          </w:tcPr>
          <w:p w14:paraId="287BF9E0" w14:textId="77777777" w:rsidR="00DD3814" w:rsidRPr="00CE3780" w:rsidRDefault="00DD3814" w:rsidP="00966DBE">
            <w:pPr>
              <w:rPr>
                <w:bCs/>
                <w:sz w:val="28"/>
                <w:szCs w:val="28"/>
              </w:rPr>
            </w:pPr>
            <w:r w:rsidRPr="00CE3780">
              <w:rPr>
                <w:bCs/>
                <w:sz w:val="28"/>
                <w:szCs w:val="28"/>
              </w:rPr>
              <w:t>Approval Date:</w:t>
            </w:r>
          </w:p>
        </w:tc>
        <w:tc>
          <w:tcPr>
            <w:tcW w:w="4680" w:type="dxa"/>
          </w:tcPr>
          <w:p w14:paraId="372DD4E7" w14:textId="70EEBD69" w:rsidR="00DD3814" w:rsidRPr="00CE3780" w:rsidRDefault="00036F29" w:rsidP="00966DBE">
            <w:pPr>
              <w:jc w:val="center"/>
              <w:rPr>
                <w:b/>
                <w:sz w:val="28"/>
                <w:szCs w:val="28"/>
                <w:u w:val="single"/>
              </w:rPr>
            </w:pPr>
            <w:r>
              <w:rPr>
                <w:b/>
                <w:sz w:val="28"/>
                <w:szCs w:val="28"/>
                <w:u w:val="single"/>
              </w:rPr>
              <w:t>February 9, 2021</w:t>
            </w:r>
          </w:p>
        </w:tc>
        <w:tc>
          <w:tcPr>
            <w:tcW w:w="1975" w:type="dxa"/>
          </w:tcPr>
          <w:p w14:paraId="744D632D" w14:textId="77777777" w:rsidR="00DD3814" w:rsidRPr="00CE3780" w:rsidRDefault="00DD3814" w:rsidP="00966DBE">
            <w:pPr>
              <w:jc w:val="center"/>
              <w:rPr>
                <w:b/>
                <w:sz w:val="28"/>
                <w:szCs w:val="28"/>
                <w:u w:val="single"/>
              </w:rPr>
            </w:pPr>
          </w:p>
        </w:tc>
      </w:tr>
      <w:tr w:rsidR="00DD3814" w:rsidRPr="00CE3780" w14:paraId="1368E6B4" w14:textId="77777777" w:rsidTr="00966DBE">
        <w:tc>
          <w:tcPr>
            <w:tcW w:w="2695" w:type="dxa"/>
          </w:tcPr>
          <w:p w14:paraId="308F4635" w14:textId="77777777" w:rsidR="00DD3814" w:rsidRPr="00CE3780" w:rsidRDefault="00DD3814" w:rsidP="00966DBE">
            <w:pPr>
              <w:rPr>
                <w:bCs/>
                <w:sz w:val="28"/>
                <w:szCs w:val="28"/>
              </w:rPr>
            </w:pPr>
            <w:r w:rsidRPr="00CE3780">
              <w:rPr>
                <w:bCs/>
                <w:sz w:val="28"/>
                <w:szCs w:val="28"/>
              </w:rPr>
              <w:t>Revision Date:</w:t>
            </w:r>
          </w:p>
        </w:tc>
        <w:tc>
          <w:tcPr>
            <w:tcW w:w="4680" w:type="dxa"/>
          </w:tcPr>
          <w:p w14:paraId="038533A1" w14:textId="77777777" w:rsidR="00DD3814" w:rsidRPr="00CE3780" w:rsidRDefault="00DD3814" w:rsidP="00966DBE">
            <w:pPr>
              <w:jc w:val="center"/>
              <w:rPr>
                <w:b/>
                <w:sz w:val="28"/>
                <w:szCs w:val="28"/>
                <w:u w:val="single"/>
              </w:rPr>
            </w:pPr>
          </w:p>
        </w:tc>
        <w:tc>
          <w:tcPr>
            <w:tcW w:w="1975" w:type="dxa"/>
          </w:tcPr>
          <w:p w14:paraId="281A48D5" w14:textId="14F7FD3C" w:rsidR="00DD3814" w:rsidRPr="00DD3814" w:rsidRDefault="00DD3814" w:rsidP="00966DBE">
            <w:pPr>
              <w:jc w:val="center"/>
              <w:rPr>
                <w:bCs/>
                <w:sz w:val="28"/>
                <w:szCs w:val="28"/>
              </w:rPr>
            </w:pPr>
            <w:r>
              <w:rPr>
                <w:bCs/>
                <w:sz w:val="28"/>
                <w:szCs w:val="28"/>
              </w:rPr>
              <w:t>Policy 25.1</w:t>
            </w:r>
          </w:p>
        </w:tc>
      </w:tr>
    </w:tbl>
    <w:p w14:paraId="2DDE491E" w14:textId="13A9723D" w:rsidR="00AB0C24" w:rsidRPr="00117424" w:rsidRDefault="00AB0C24" w:rsidP="00DD3814">
      <w:pPr>
        <w:rPr>
          <w:b/>
          <w:sz w:val="40"/>
          <w:szCs w:val="40"/>
          <w:u w:val="single"/>
        </w:rPr>
      </w:pPr>
    </w:p>
    <w:p w14:paraId="59DD9140" w14:textId="28818626" w:rsidR="00CB7C49" w:rsidRPr="00117424" w:rsidRDefault="00AB0C24" w:rsidP="009D6EE1">
      <w:pPr>
        <w:rPr>
          <w:b/>
          <w:sz w:val="28"/>
          <w:szCs w:val="28"/>
        </w:rPr>
      </w:pPr>
      <w:r w:rsidRPr="005B2EEC">
        <w:rPr>
          <w:b/>
          <w:sz w:val="28"/>
          <w:szCs w:val="28"/>
        </w:rPr>
        <w:t>POLICY STATEMENT</w:t>
      </w:r>
      <w:r w:rsidRPr="005B2EEC">
        <w:rPr>
          <w:sz w:val="24"/>
          <w:szCs w:val="24"/>
        </w:rPr>
        <w:tab/>
      </w:r>
      <w:r w:rsidRPr="005B2EEC">
        <w:rPr>
          <w:sz w:val="24"/>
          <w:szCs w:val="24"/>
        </w:rPr>
        <w:tab/>
      </w:r>
    </w:p>
    <w:p w14:paraId="7DE9C77E" w14:textId="068BD662" w:rsidR="009D6EE1" w:rsidRDefault="009C334A" w:rsidP="009D6EE1">
      <w:pPr>
        <w:rPr>
          <w:color w:val="FF0000"/>
          <w:sz w:val="24"/>
          <w:szCs w:val="24"/>
        </w:rPr>
      </w:pPr>
      <w:r>
        <w:rPr>
          <w:sz w:val="24"/>
          <w:szCs w:val="24"/>
        </w:rPr>
        <w:t xml:space="preserve">This policy does not apply to extensions which are part of a new subdivision or development; nor does it apply to projects funded by </w:t>
      </w:r>
      <w:r w:rsidR="00117424" w:rsidRPr="00117424">
        <w:rPr>
          <w:sz w:val="24"/>
          <w:szCs w:val="24"/>
        </w:rPr>
        <w:t>g</w:t>
      </w:r>
      <w:r w:rsidRPr="00117424">
        <w:rPr>
          <w:sz w:val="24"/>
          <w:szCs w:val="24"/>
        </w:rPr>
        <w:t>rants</w:t>
      </w:r>
      <w:r w:rsidR="00117424" w:rsidRPr="00117424">
        <w:rPr>
          <w:sz w:val="24"/>
          <w:szCs w:val="24"/>
        </w:rPr>
        <w:t>.</w:t>
      </w:r>
    </w:p>
    <w:p w14:paraId="29A8A38B" w14:textId="44091DE3" w:rsidR="009C334A" w:rsidRPr="00117424" w:rsidRDefault="009C334A" w:rsidP="00117424">
      <w:pPr>
        <w:pStyle w:val="ListParagraph"/>
        <w:numPr>
          <w:ilvl w:val="0"/>
          <w:numId w:val="11"/>
        </w:numPr>
        <w:rPr>
          <w:sz w:val="24"/>
          <w:szCs w:val="24"/>
        </w:rPr>
      </w:pPr>
      <w:r w:rsidRPr="00117424">
        <w:rPr>
          <w:sz w:val="24"/>
          <w:szCs w:val="24"/>
        </w:rPr>
        <w:t>Applicants seeking the extension of utility lines shall present to KWD a petition for extension of such lines.  The petition shall include the following information:</w:t>
      </w:r>
    </w:p>
    <w:p w14:paraId="322744DB" w14:textId="0B331987" w:rsidR="009C334A" w:rsidRDefault="009C334A" w:rsidP="009C334A">
      <w:pPr>
        <w:pStyle w:val="ListParagraph"/>
        <w:numPr>
          <w:ilvl w:val="0"/>
          <w:numId w:val="5"/>
        </w:numPr>
        <w:rPr>
          <w:sz w:val="24"/>
          <w:szCs w:val="24"/>
        </w:rPr>
      </w:pPr>
      <w:r>
        <w:rPr>
          <w:sz w:val="24"/>
          <w:szCs w:val="24"/>
        </w:rPr>
        <w:t>Name, address (“911” address or street address), and phone number of each applicant requesting service.</w:t>
      </w:r>
    </w:p>
    <w:p w14:paraId="426713C7" w14:textId="04056CFE" w:rsidR="009C334A" w:rsidRDefault="009C334A" w:rsidP="009C334A">
      <w:pPr>
        <w:pStyle w:val="ListParagraph"/>
        <w:numPr>
          <w:ilvl w:val="0"/>
          <w:numId w:val="5"/>
        </w:numPr>
        <w:rPr>
          <w:sz w:val="24"/>
          <w:szCs w:val="24"/>
        </w:rPr>
      </w:pPr>
      <w:r>
        <w:rPr>
          <w:sz w:val="24"/>
          <w:szCs w:val="24"/>
        </w:rPr>
        <w:t>Name and address of nearest person that KWD now serves;</w:t>
      </w:r>
    </w:p>
    <w:p w14:paraId="5F32F88E" w14:textId="261E22BF" w:rsidR="009C334A" w:rsidRDefault="009C334A" w:rsidP="009C334A">
      <w:pPr>
        <w:pStyle w:val="ListParagraph"/>
        <w:numPr>
          <w:ilvl w:val="0"/>
          <w:numId w:val="5"/>
        </w:numPr>
        <w:rPr>
          <w:sz w:val="24"/>
          <w:szCs w:val="24"/>
        </w:rPr>
      </w:pPr>
      <w:r>
        <w:rPr>
          <w:sz w:val="24"/>
          <w:szCs w:val="24"/>
        </w:rPr>
        <w:t>Type of service(s) requested (residential, commercial, fire protection, etc.);</w:t>
      </w:r>
    </w:p>
    <w:p w14:paraId="6D27D360" w14:textId="50E32904" w:rsidR="009C334A" w:rsidRDefault="009C334A" w:rsidP="009C334A">
      <w:pPr>
        <w:pStyle w:val="ListParagraph"/>
        <w:numPr>
          <w:ilvl w:val="0"/>
          <w:numId w:val="5"/>
        </w:numPr>
        <w:rPr>
          <w:sz w:val="24"/>
          <w:szCs w:val="24"/>
        </w:rPr>
      </w:pPr>
      <w:r>
        <w:rPr>
          <w:sz w:val="24"/>
          <w:szCs w:val="24"/>
        </w:rPr>
        <w:t>A rough map with the approximate location of the applicant(s) to be served;</w:t>
      </w:r>
    </w:p>
    <w:p w14:paraId="35A954FF" w14:textId="282A6A07" w:rsidR="009C334A" w:rsidRDefault="009C334A" w:rsidP="009C334A">
      <w:pPr>
        <w:pStyle w:val="ListParagraph"/>
        <w:numPr>
          <w:ilvl w:val="0"/>
          <w:numId w:val="5"/>
        </w:numPr>
        <w:rPr>
          <w:sz w:val="24"/>
          <w:szCs w:val="24"/>
        </w:rPr>
      </w:pPr>
      <w:r>
        <w:rPr>
          <w:sz w:val="24"/>
          <w:szCs w:val="24"/>
        </w:rPr>
        <w:t>Date service is desired;</w:t>
      </w:r>
    </w:p>
    <w:p w14:paraId="7E324EE7" w14:textId="428BC066" w:rsidR="009C334A" w:rsidRDefault="009C334A" w:rsidP="009C334A">
      <w:pPr>
        <w:pStyle w:val="ListParagraph"/>
        <w:numPr>
          <w:ilvl w:val="0"/>
          <w:numId w:val="5"/>
        </w:numPr>
        <w:rPr>
          <w:sz w:val="24"/>
          <w:szCs w:val="24"/>
        </w:rPr>
      </w:pPr>
      <w:r>
        <w:rPr>
          <w:sz w:val="24"/>
          <w:szCs w:val="24"/>
        </w:rPr>
        <w:t>Payment of any required petition fees.</w:t>
      </w:r>
    </w:p>
    <w:p w14:paraId="0660E299" w14:textId="4DE1BD61" w:rsidR="009C334A" w:rsidRDefault="009C334A" w:rsidP="009C334A">
      <w:pPr>
        <w:pStyle w:val="ListParagraph"/>
        <w:rPr>
          <w:sz w:val="24"/>
          <w:szCs w:val="24"/>
        </w:rPr>
      </w:pPr>
    </w:p>
    <w:p w14:paraId="682B1C1C" w14:textId="3A5F33F3" w:rsidR="009C334A" w:rsidRDefault="009C334A" w:rsidP="00117424">
      <w:pPr>
        <w:pStyle w:val="ListParagraph"/>
        <w:numPr>
          <w:ilvl w:val="0"/>
          <w:numId w:val="11"/>
        </w:numPr>
        <w:rPr>
          <w:sz w:val="24"/>
          <w:szCs w:val="24"/>
        </w:rPr>
      </w:pPr>
      <w:r>
        <w:rPr>
          <w:sz w:val="24"/>
          <w:szCs w:val="24"/>
        </w:rPr>
        <w:t>Within 60 days of receipt of the petition, the manager or his designee will make a preliminary estimate of the cost of the extension.</w:t>
      </w:r>
    </w:p>
    <w:p w14:paraId="1C23D529" w14:textId="25B546D2" w:rsidR="009C334A" w:rsidRDefault="009C334A" w:rsidP="009C334A">
      <w:pPr>
        <w:pStyle w:val="ListParagraph"/>
        <w:ind w:left="0"/>
        <w:rPr>
          <w:sz w:val="24"/>
          <w:szCs w:val="24"/>
        </w:rPr>
      </w:pPr>
    </w:p>
    <w:p w14:paraId="366ABBF8" w14:textId="5B3800D8" w:rsidR="009C334A" w:rsidRDefault="009C334A" w:rsidP="00117424">
      <w:pPr>
        <w:pStyle w:val="ListParagraph"/>
        <w:numPr>
          <w:ilvl w:val="0"/>
          <w:numId w:val="11"/>
        </w:numPr>
        <w:rPr>
          <w:sz w:val="24"/>
          <w:szCs w:val="24"/>
        </w:rPr>
      </w:pPr>
      <w:r>
        <w:rPr>
          <w:sz w:val="24"/>
          <w:szCs w:val="24"/>
        </w:rPr>
        <w:t xml:space="preserve">Line extensions may be considered for construction when the </w:t>
      </w:r>
      <w:r w:rsidR="00117424">
        <w:rPr>
          <w:sz w:val="24"/>
          <w:szCs w:val="24"/>
        </w:rPr>
        <w:t>Water Board</w:t>
      </w:r>
      <w:r>
        <w:rPr>
          <w:sz w:val="24"/>
          <w:szCs w:val="24"/>
        </w:rPr>
        <w:t xml:space="preserve"> or its designee determines an extension meets the following criteria:</w:t>
      </w:r>
    </w:p>
    <w:p w14:paraId="4DA58F7E" w14:textId="55EB72D9" w:rsidR="009C334A" w:rsidRDefault="009C334A" w:rsidP="009C334A">
      <w:pPr>
        <w:pStyle w:val="ListParagraph"/>
        <w:numPr>
          <w:ilvl w:val="0"/>
          <w:numId w:val="6"/>
        </w:numPr>
        <w:rPr>
          <w:sz w:val="24"/>
          <w:szCs w:val="24"/>
        </w:rPr>
      </w:pPr>
      <w:r>
        <w:rPr>
          <w:sz w:val="24"/>
          <w:szCs w:val="24"/>
        </w:rPr>
        <w:t>Adequate capacity of the system or the line(s) to be connected to is available;</w:t>
      </w:r>
    </w:p>
    <w:p w14:paraId="44A1D064" w14:textId="403EAA38" w:rsidR="009C334A" w:rsidRDefault="009C334A" w:rsidP="009C334A">
      <w:pPr>
        <w:pStyle w:val="ListParagraph"/>
        <w:numPr>
          <w:ilvl w:val="0"/>
          <w:numId w:val="6"/>
        </w:numPr>
        <w:rPr>
          <w:sz w:val="24"/>
          <w:szCs w:val="24"/>
        </w:rPr>
      </w:pPr>
      <w:r>
        <w:rPr>
          <w:sz w:val="24"/>
          <w:szCs w:val="24"/>
        </w:rPr>
        <w:t>The extension is judged to be operationally and financially feasible;</w:t>
      </w:r>
    </w:p>
    <w:p w14:paraId="3F14F2B2" w14:textId="72CB69FB" w:rsidR="009C334A" w:rsidRDefault="009C334A" w:rsidP="009C334A">
      <w:pPr>
        <w:pStyle w:val="ListParagraph"/>
        <w:numPr>
          <w:ilvl w:val="0"/>
          <w:numId w:val="6"/>
        </w:numPr>
        <w:rPr>
          <w:sz w:val="24"/>
          <w:szCs w:val="24"/>
        </w:rPr>
      </w:pPr>
      <w:r>
        <w:rPr>
          <w:sz w:val="24"/>
          <w:szCs w:val="24"/>
        </w:rPr>
        <w:t>Applicant must have a dwelling or have a completed foundation that is under construction.</w:t>
      </w:r>
    </w:p>
    <w:p w14:paraId="00ADB713" w14:textId="2CC9E981" w:rsidR="009C334A" w:rsidRDefault="009C334A" w:rsidP="009C334A">
      <w:pPr>
        <w:pStyle w:val="ListParagraph"/>
        <w:numPr>
          <w:ilvl w:val="0"/>
          <w:numId w:val="6"/>
        </w:numPr>
        <w:rPr>
          <w:sz w:val="24"/>
          <w:szCs w:val="24"/>
        </w:rPr>
      </w:pPr>
      <w:r>
        <w:rPr>
          <w:sz w:val="24"/>
          <w:szCs w:val="24"/>
        </w:rPr>
        <w:t>Adequate funds for construction of the extension are available to KWD.</w:t>
      </w:r>
    </w:p>
    <w:p w14:paraId="590FBD5F" w14:textId="4BE0D89A" w:rsidR="001A1CE8" w:rsidRDefault="001A1CE8" w:rsidP="001A1CE8">
      <w:pPr>
        <w:pStyle w:val="ListParagraph"/>
        <w:rPr>
          <w:sz w:val="24"/>
          <w:szCs w:val="24"/>
        </w:rPr>
      </w:pPr>
    </w:p>
    <w:p w14:paraId="0BE265CA" w14:textId="3056D73C" w:rsidR="001A1CE8" w:rsidRDefault="001A1CE8" w:rsidP="00117424">
      <w:pPr>
        <w:pStyle w:val="ListParagraph"/>
        <w:numPr>
          <w:ilvl w:val="0"/>
          <w:numId w:val="11"/>
        </w:numPr>
        <w:rPr>
          <w:sz w:val="24"/>
          <w:szCs w:val="24"/>
        </w:rPr>
      </w:pPr>
      <w:r>
        <w:rPr>
          <w:sz w:val="24"/>
          <w:szCs w:val="24"/>
        </w:rPr>
        <w:t xml:space="preserve">If the proposed extension does not meet the requirements of paragraph 3, the applicant(s) may be presented with the following options at the discretion of the </w:t>
      </w:r>
      <w:r w:rsidR="00117424">
        <w:rPr>
          <w:sz w:val="24"/>
          <w:szCs w:val="24"/>
        </w:rPr>
        <w:t xml:space="preserve">Water </w:t>
      </w:r>
      <w:r>
        <w:rPr>
          <w:sz w:val="24"/>
          <w:szCs w:val="24"/>
        </w:rPr>
        <w:t>Board or its designee;</w:t>
      </w:r>
    </w:p>
    <w:p w14:paraId="2FBC60D5" w14:textId="5A9E69CB" w:rsidR="001A1CE8" w:rsidRDefault="001A1CE8" w:rsidP="001A1CE8">
      <w:pPr>
        <w:pStyle w:val="ListParagraph"/>
        <w:numPr>
          <w:ilvl w:val="0"/>
          <w:numId w:val="7"/>
        </w:numPr>
        <w:rPr>
          <w:sz w:val="24"/>
          <w:szCs w:val="24"/>
        </w:rPr>
      </w:pPr>
      <w:r>
        <w:rPr>
          <w:sz w:val="24"/>
          <w:szCs w:val="24"/>
        </w:rPr>
        <w:t>Applicants may make an additional contribution in a specified amount per applicant for construction;</w:t>
      </w:r>
    </w:p>
    <w:p w14:paraId="0A4D8962" w14:textId="1FD73AAA" w:rsidR="001A1CE8" w:rsidRDefault="001A1CE8" w:rsidP="001A1CE8">
      <w:pPr>
        <w:pStyle w:val="ListParagraph"/>
        <w:numPr>
          <w:ilvl w:val="0"/>
          <w:numId w:val="7"/>
        </w:numPr>
        <w:rPr>
          <w:sz w:val="24"/>
          <w:szCs w:val="24"/>
        </w:rPr>
      </w:pPr>
      <w:r>
        <w:rPr>
          <w:sz w:val="24"/>
          <w:szCs w:val="24"/>
        </w:rPr>
        <w:t>Applicants may contribute labor, equipment and/or material to offset the cost;</w:t>
      </w:r>
    </w:p>
    <w:p w14:paraId="1EF2429C" w14:textId="0DA7F116" w:rsidR="001A1CE8" w:rsidRDefault="001A1CE8" w:rsidP="001A1CE8">
      <w:pPr>
        <w:pStyle w:val="ListParagraph"/>
        <w:numPr>
          <w:ilvl w:val="0"/>
          <w:numId w:val="7"/>
        </w:numPr>
        <w:rPr>
          <w:sz w:val="24"/>
          <w:szCs w:val="24"/>
        </w:rPr>
      </w:pPr>
      <w:r>
        <w:rPr>
          <w:sz w:val="24"/>
          <w:szCs w:val="24"/>
        </w:rPr>
        <w:t>Construction may be delayed pending availability of a grant;</w:t>
      </w:r>
    </w:p>
    <w:p w14:paraId="7ED895C1" w14:textId="454B3FCA" w:rsidR="001A1CE8" w:rsidRDefault="001A1CE8" w:rsidP="001A1CE8">
      <w:pPr>
        <w:pStyle w:val="ListParagraph"/>
        <w:numPr>
          <w:ilvl w:val="0"/>
          <w:numId w:val="7"/>
        </w:numPr>
        <w:rPr>
          <w:sz w:val="24"/>
          <w:szCs w:val="24"/>
        </w:rPr>
      </w:pPr>
      <w:r>
        <w:rPr>
          <w:sz w:val="24"/>
          <w:szCs w:val="24"/>
        </w:rPr>
        <w:lastRenderedPageBreak/>
        <w:t>The customer may enter into an agreement with KWD to install the extension to KWD’s specifications and then on completion and upon acceptance by KWD, the customer(s) will give the extension to KWD.</w:t>
      </w:r>
    </w:p>
    <w:p w14:paraId="72DAF242" w14:textId="548CD1ED" w:rsidR="001A1CE8" w:rsidRDefault="001A1CE8" w:rsidP="001A1CE8">
      <w:pPr>
        <w:pStyle w:val="ListParagraph"/>
        <w:rPr>
          <w:sz w:val="24"/>
          <w:szCs w:val="24"/>
        </w:rPr>
      </w:pPr>
    </w:p>
    <w:p w14:paraId="395E45FE" w14:textId="5164DE66" w:rsidR="001A1CE8" w:rsidRDefault="001A1CE8" w:rsidP="00117424">
      <w:pPr>
        <w:pStyle w:val="ListParagraph"/>
        <w:numPr>
          <w:ilvl w:val="0"/>
          <w:numId w:val="11"/>
        </w:numPr>
        <w:rPr>
          <w:sz w:val="24"/>
          <w:szCs w:val="24"/>
        </w:rPr>
      </w:pPr>
      <w:r>
        <w:rPr>
          <w:sz w:val="24"/>
          <w:szCs w:val="24"/>
        </w:rPr>
        <w:t>When the criteria in paragraph 3 are met or when the applicants comply with the option or options selected by the Board in paragraph 4, the applicant(s) shall;</w:t>
      </w:r>
    </w:p>
    <w:p w14:paraId="5508905E" w14:textId="6AE3B7F9" w:rsidR="001A1CE8" w:rsidRDefault="001A1CE8" w:rsidP="001A1CE8">
      <w:pPr>
        <w:pStyle w:val="ListParagraph"/>
        <w:numPr>
          <w:ilvl w:val="0"/>
          <w:numId w:val="8"/>
        </w:numPr>
        <w:rPr>
          <w:sz w:val="24"/>
          <w:szCs w:val="24"/>
        </w:rPr>
      </w:pPr>
      <w:r>
        <w:rPr>
          <w:sz w:val="24"/>
          <w:szCs w:val="24"/>
        </w:rPr>
        <w:t>Complete KWD’s customer application or contract for service;</w:t>
      </w:r>
    </w:p>
    <w:p w14:paraId="3D15C0CC" w14:textId="303CBC33" w:rsidR="001A1CE8" w:rsidRDefault="001A1CE8" w:rsidP="001A1CE8">
      <w:pPr>
        <w:pStyle w:val="ListParagraph"/>
        <w:numPr>
          <w:ilvl w:val="0"/>
          <w:numId w:val="8"/>
        </w:numPr>
        <w:rPr>
          <w:sz w:val="24"/>
          <w:szCs w:val="24"/>
        </w:rPr>
      </w:pPr>
      <w:r>
        <w:rPr>
          <w:sz w:val="24"/>
          <w:szCs w:val="24"/>
        </w:rPr>
        <w:t>Grant KWD the necessary easement(s) on their property;</w:t>
      </w:r>
    </w:p>
    <w:p w14:paraId="250CBEFB" w14:textId="09CA0488" w:rsidR="001A1CE8" w:rsidRDefault="001A1CE8" w:rsidP="001A1CE8">
      <w:pPr>
        <w:pStyle w:val="ListParagraph"/>
        <w:numPr>
          <w:ilvl w:val="0"/>
          <w:numId w:val="8"/>
        </w:numPr>
        <w:rPr>
          <w:sz w:val="24"/>
          <w:szCs w:val="24"/>
        </w:rPr>
      </w:pPr>
      <w:r>
        <w:rPr>
          <w:sz w:val="24"/>
          <w:szCs w:val="24"/>
        </w:rPr>
        <w:t>Pay all fees and charges (tap fees, service charges, etc.);</w:t>
      </w:r>
    </w:p>
    <w:p w14:paraId="261C7F85" w14:textId="2E54C7F1" w:rsidR="001A1CE8" w:rsidRDefault="001A1CE8" w:rsidP="001A1CE8">
      <w:pPr>
        <w:pStyle w:val="ListParagraph"/>
        <w:rPr>
          <w:sz w:val="24"/>
          <w:szCs w:val="24"/>
        </w:rPr>
      </w:pPr>
    </w:p>
    <w:p w14:paraId="05872BFD" w14:textId="1EEDA8D7" w:rsidR="001A1CE8" w:rsidRDefault="001A1CE8" w:rsidP="00117424">
      <w:pPr>
        <w:pStyle w:val="ListParagraph"/>
        <w:numPr>
          <w:ilvl w:val="0"/>
          <w:numId w:val="11"/>
        </w:numPr>
        <w:rPr>
          <w:sz w:val="24"/>
          <w:szCs w:val="24"/>
        </w:rPr>
      </w:pPr>
      <w:r>
        <w:rPr>
          <w:sz w:val="24"/>
          <w:szCs w:val="24"/>
        </w:rPr>
        <w:t xml:space="preserve">After the above is completed, KWD will then have the </w:t>
      </w:r>
      <w:r w:rsidR="00DE79B5">
        <w:rPr>
          <w:sz w:val="24"/>
          <w:szCs w:val="24"/>
        </w:rPr>
        <w:t>extension designed and installed in a timely manner.</w:t>
      </w:r>
    </w:p>
    <w:p w14:paraId="3D1E0528" w14:textId="43B8AC71" w:rsidR="00DE79B5" w:rsidRDefault="00DE79B5" w:rsidP="001A1CE8">
      <w:pPr>
        <w:pStyle w:val="ListParagraph"/>
        <w:ind w:left="0"/>
        <w:rPr>
          <w:sz w:val="24"/>
          <w:szCs w:val="24"/>
        </w:rPr>
      </w:pPr>
    </w:p>
    <w:p w14:paraId="44A50EF7" w14:textId="30F64020" w:rsidR="00DE79B5" w:rsidRDefault="00DE79B5" w:rsidP="00117424">
      <w:pPr>
        <w:pStyle w:val="ListParagraph"/>
        <w:numPr>
          <w:ilvl w:val="0"/>
          <w:numId w:val="11"/>
        </w:numPr>
        <w:rPr>
          <w:sz w:val="24"/>
          <w:szCs w:val="24"/>
        </w:rPr>
      </w:pPr>
      <w:r>
        <w:rPr>
          <w:sz w:val="24"/>
          <w:szCs w:val="24"/>
        </w:rPr>
        <w:t>If for any reason not caused by the applicant(s) the project is not constructed, all fees and payments will be refunded to the applicant(s)</w:t>
      </w:r>
    </w:p>
    <w:p w14:paraId="0BC0AD60" w14:textId="77777777" w:rsidR="00117424" w:rsidRPr="00117424" w:rsidRDefault="00117424" w:rsidP="00117424">
      <w:pPr>
        <w:pStyle w:val="ListParagraph"/>
        <w:rPr>
          <w:sz w:val="24"/>
          <w:szCs w:val="24"/>
        </w:rPr>
      </w:pPr>
    </w:p>
    <w:p w14:paraId="7206D906" w14:textId="77777777" w:rsidR="00117424" w:rsidRPr="00117424" w:rsidRDefault="00117424" w:rsidP="00117424">
      <w:pPr>
        <w:pStyle w:val="ListParagraph"/>
        <w:rPr>
          <w:sz w:val="24"/>
          <w:szCs w:val="24"/>
        </w:rPr>
      </w:pPr>
    </w:p>
    <w:p w14:paraId="1601B975" w14:textId="1C5E3055" w:rsidR="00DE79B5" w:rsidRDefault="00DE79B5" w:rsidP="00117424">
      <w:pPr>
        <w:pStyle w:val="ListParagraph"/>
        <w:numPr>
          <w:ilvl w:val="0"/>
          <w:numId w:val="11"/>
        </w:numPr>
        <w:rPr>
          <w:sz w:val="24"/>
          <w:szCs w:val="24"/>
        </w:rPr>
      </w:pPr>
      <w:r>
        <w:rPr>
          <w:sz w:val="24"/>
          <w:szCs w:val="24"/>
        </w:rPr>
        <w:t xml:space="preserve">KWD shall install all line extensions along public roads only, unless </w:t>
      </w:r>
      <w:proofErr w:type="gramStart"/>
      <w:r w:rsidR="00117424">
        <w:rPr>
          <w:sz w:val="24"/>
          <w:szCs w:val="24"/>
        </w:rPr>
        <w:t>it</w:t>
      </w:r>
      <w:proofErr w:type="gramEnd"/>
      <w:r>
        <w:rPr>
          <w:sz w:val="24"/>
          <w:szCs w:val="24"/>
        </w:rPr>
        <w:t xml:space="preserve"> benefits KWD to install on private roads, access roads, easements, </w:t>
      </w:r>
      <w:r w:rsidR="00117424">
        <w:rPr>
          <w:sz w:val="24"/>
          <w:szCs w:val="24"/>
        </w:rPr>
        <w:t>etc.</w:t>
      </w:r>
      <w:r>
        <w:rPr>
          <w:sz w:val="24"/>
          <w:szCs w:val="24"/>
        </w:rPr>
        <w:t xml:space="preserve">… The cost for public roads will be determined by the paragraph directly before this one.  This cost should be used on private roads, access roads, easements, </w:t>
      </w:r>
      <w:r w:rsidR="00117424">
        <w:rPr>
          <w:sz w:val="24"/>
          <w:szCs w:val="24"/>
        </w:rPr>
        <w:t>etc.</w:t>
      </w:r>
      <w:r>
        <w:rPr>
          <w:sz w:val="24"/>
          <w:szCs w:val="24"/>
        </w:rPr>
        <w:t xml:space="preserve">…when </w:t>
      </w:r>
      <w:proofErr w:type="gramStart"/>
      <w:r w:rsidR="00117424">
        <w:rPr>
          <w:sz w:val="24"/>
          <w:szCs w:val="24"/>
        </w:rPr>
        <w:t>it</w:t>
      </w:r>
      <w:proofErr w:type="gramEnd"/>
      <w:r>
        <w:rPr>
          <w:sz w:val="24"/>
          <w:szCs w:val="24"/>
        </w:rPr>
        <w:t xml:space="preserve"> benefits KWD.  If it does not benefit KWD running lines on private roads, access roads, easements, </w:t>
      </w:r>
      <w:r w:rsidR="00117424">
        <w:rPr>
          <w:sz w:val="24"/>
          <w:szCs w:val="24"/>
        </w:rPr>
        <w:t>etc.</w:t>
      </w:r>
      <w:r>
        <w:rPr>
          <w:sz w:val="24"/>
          <w:szCs w:val="24"/>
        </w:rPr>
        <w:t>…, the customer(s) shall pay all expenses for the line extension.</w:t>
      </w:r>
    </w:p>
    <w:p w14:paraId="468EB348" w14:textId="76F63F7C" w:rsidR="00DE79B5" w:rsidRPr="009C334A" w:rsidRDefault="00DE79B5" w:rsidP="00DE79B5">
      <w:pPr>
        <w:pStyle w:val="ListParagraph"/>
        <w:numPr>
          <w:ilvl w:val="0"/>
          <w:numId w:val="10"/>
        </w:numPr>
        <w:rPr>
          <w:sz w:val="24"/>
          <w:szCs w:val="24"/>
        </w:rPr>
      </w:pPr>
      <w:r>
        <w:rPr>
          <w:sz w:val="24"/>
          <w:szCs w:val="24"/>
        </w:rPr>
        <w:t>Public road is defined as a City, County, State or Federal owned Road.</w:t>
      </w:r>
    </w:p>
    <w:sectPr w:rsidR="00DE79B5" w:rsidRPr="009C33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DAAC3" w14:textId="77777777" w:rsidR="00565DB1" w:rsidRDefault="00565DB1" w:rsidP="00AB0C24">
      <w:pPr>
        <w:spacing w:after="0" w:line="240" w:lineRule="auto"/>
      </w:pPr>
      <w:r>
        <w:separator/>
      </w:r>
    </w:p>
  </w:endnote>
  <w:endnote w:type="continuationSeparator" w:id="0">
    <w:p w14:paraId="736AD50E" w14:textId="77777777" w:rsidR="00565DB1" w:rsidRDefault="00565DB1"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092C" w14:textId="77B1F217" w:rsidR="005A5A60" w:rsidRDefault="00DD3814">
    <w:pPr>
      <w:pStyle w:val="Footer"/>
    </w:pPr>
    <w:r>
      <w:t>KWD POLICY MANUAL</w:t>
    </w:r>
    <w:r>
      <w:ptab w:relativeTo="margin" w:alignment="center" w:leader="none"/>
    </w:r>
    <w:r>
      <w:t>Section 25.1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1100" w14:textId="77777777" w:rsidR="00565DB1" w:rsidRDefault="00565DB1" w:rsidP="00AB0C24">
      <w:pPr>
        <w:spacing w:after="0" w:line="240" w:lineRule="auto"/>
      </w:pPr>
      <w:r>
        <w:separator/>
      </w:r>
    </w:p>
  </w:footnote>
  <w:footnote w:type="continuationSeparator" w:id="0">
    <w:p w14:paraId="3D8491D8" w14:textId="77777777" w:rsidR="00565DB1" w:rsidRDefault="00565DB1"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7889"/>
    <w:multiLevelType w:val="hybridMultilevel"/>
    <w:tmpl w:val="D182144E"/>
    <w:lvl w:ilvl="0" w:tplc="1542F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CCB35AC"/>
    <w:multiLevelType w:val="hybridMultilevel"/>
    <w:tmpl w:val="F74A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593167F"/>
    <w:multiLevelType w:val="hybridMultilevel"/>
    <w:tmpl w:val="CA06FEC8"/>
    <w:lvl w:ilvl="0" w:tplc="ACDA9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C86D8D"/>
    <w:multiLevelType w:val="hybridMultilevel"/>
    <w:tmpl w:val="984C3032"/>
    <w:lvl w:ilvl="0" w:tplc="79DEB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1480E"/>
    <w:multiLevelType w:val="hybridMultilevel"/>
    <w:tmpl w:val="45403EF6"/>
    <w:lvl w:ilvl="0" w:tplc="7E9A4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C797B76"/>
    <w:multiLevelType w:val="hybridMultilevel"/>
    <w:tmpl w:val="A4DC3D06"/>
    <w:lvl w:ilvl="0" w:tplc="F7087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65E9D"/>
    <w:multiLevelType w:val="hybridMultilevel"/>
    <w:tmpl w:val="E5FEC5F4"/>
    <w:lvl w:ilvl="0" w:tplc="27C89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1"/>
  </w:num>
  <w:num w:numId="5">
    <w:abstractNumId w:val="10"/>
  </w:num>
  <w:num w:numId="6">
    <w:abstractNumId w:val="7"/>
  </w:num>
  <w:num w:numId="7">
    <w:abstractNumId w:val="6"/>
  </w:num>
  <w:num w:numId="8">
    <w:abstractNumId w:val="5"/>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36F29"/>
    <w:rsid w:val="00117424"/>
    <w:rsid w:val="001A1CE8"/>
    <w:rsid w:val="00565DB1"/>
    <w:rsid w:val="005A5A60"/>
    <w:rsid w:val="005B2EEC"/>
    <w:rsid w:val="00633579"/>
    <w:rsid w:val="006E1146"/>
    <w:rsid w:val="007547E3"/>
    <w:rsid w:val="00837AF8"/>
    <w:rsid w:val="00912872"/>
    <w:rsid w:val="009C334A"/>
    <w:rsid w:val="009D6EE1"/>
    <w:rsid w:val="00A50DC7"/>
    <w:rsid w:val="00AB0C24"/>
    <w:rsid w:val="00AE557C"/>
    <w:rsid w:val="00C810CC"/>
    <w:rsid w:val="00C96D9E"/>
    <w:rsid w:val="00CB4D30"/>
    <w:rsid w:val="00CB7C49"/>
    <w:rsid w:val="00DD3814"/>
    <w:rsid w:val="00DE79B5"/>
    <w:rsid w:val="00FD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DD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8</cp:revision>
  <cp:lastPrinted>2020-09-17T14:18:00Z</cp:lastPrinted>
  <dcterms:created xsi:type="dcterms:W3CDTF">2019-08-08T20:19:00Z</dcterms:created>
  <dcterms:modified xsi:type="dcterms:W3CDTF">2021-02-09T14:49:00Z</dcterms:modified>
</cp:coreProperties>
</file>