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80"/>
        <w:gridCol w:w="1975"/>
      </w:tblGrid>
      <w:tr w:rsidR="0086619D" w:rsidRPr="00CE3780" w14:paraId="01045DDB" w14:textId="77777777" w:rsidTr="00966DBE">
        <w:tc>
          <w:tcPr>
            <w:tcW w:w="2695" w:type="dxa"/>
          </w:tcPr>
          <w:p w14:paraId="5A5CEF7C" w14:textId="77777777" w:rsidR="0086619D" w:rsidRPr="00CE3780" w:rsidRDefault="0086619D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Title of Policy:</w:t>
            </w:r>
          </w:p>
        </w:tc>
        <w:tc>
          <w:tcPr>
            <w:tcW w:w="4680" w:type="dxa"/>
          </w:tcPr>
          <w:p w14:paraId="3A5C5CC9" w14:textId="4CA19373" w:rsidR="0086619D" w:rsidRPr="00CE3780" w:rsidRDefault="008F7545" w:rsidP="00966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Outside City Sewer Service</w:t>
            </w:r>
          </w:p>
        </w:tc>
        <w:tc>
          <w:tcPr>
            <w:tcW w:w="1975" w:type="dxa"/>
          </w:tcPr>
          <w:p w14:paraId="046064B6" w14:textId="14C81637" w:rsidR="0086619D" w:rsidRPr="00CE3780" w:rsidRDefault="0086619D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Pg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</w:tc>
      </w:tr>
      <w:tr w:rsidR="0086619D" w:rsidRPr="00CE3780" w14:paraId="0F1F9B04" w14:textId="77777777" w:rsidTr="00966DBE">
        <w:tc>
          <w:tcPr>
            <w:tcW w:w="2695" w:type="dxa"/>
          </w:tcPr>
          <w:p w14:paraId="1F9155D4" w14:textId="77777777" w:rsidR="0086619D" w:rsidRPr="00CE3780" w:rsidRDefault="0086619D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Section #:</w:t>
            </w:r>
          </w:p>
        </w:tc>
        <w:tc>
          <w:tcPr>
            <w:tcW w:w="4680" w:type="dxa"/>
          </w:tcPr>
          <w:p w14:paraId="2596737F" w14:textId="787B5B28" w:rsidR="0086619D" w:rsidRPr="00CE3780" w:rsidRDefault="0086619D" w:rsidP="00966DBE">
            <w:pPr>
              <w:jc w:val="center"/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 xml:space="preserve">Section </w:t>
            </w:r>
            <w:r>
              <w:rPr>
                <w:bCs/>
                <w:sz w:val="28"/>
                <w:szCs w:val="28"/>
              </w:rPr>
              <w:t>2</w:t>
            </w:r>
            <w:r w:rsidR="0062463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5" w:type="dxa"/>
          </w:tcPr>
          <w:p w14:paraId="17D98713" w14:textId="77777777" w:rsidR="0086619D" w:rsidRPr="00CE3780" w:rsidRDefault="0086619D" w:rsidP="00966DB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619D" w:rsidRPr="00CE3780" w14:paraId="251E495A" w14:textId="77777777" w:rsidTr="00966DBE">
        <w:tc>
          <w:tcPr>
            <w:tcW w:w="2695" w:type="dxa"/>
          </w:tcPr>
          <w:p w14:paraId="4A8A9FA3" w14:textId="77777777" w:rsidR="0086619D" w:rsidRPr="00CE3780" w:rsidRDefault="0086619D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Approval Date:</w:t>
            </w:r>
          </w:p>
        </w:tc>
        <w:tc>
          <w:tcPr>
            <w:tcW w:w="4680" w:type="dxa"/>
          </w:tcPr>
          <w:p w14:paraId="431B14BB" w14:textId="0EF27F97" w:rsidR="0086619D" w:rsidRPr="00CE3780" w:rsidRDefault="00DD09F7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February 9, 2021</w:t>
            </w:r>
          </w:p>
        </w:tc>
        <w:tc>
          <w:tcPr>
            <w:tcW w:w="1975" w:type="dxa"/>
          </w:tcPr>
          <w:p w14:paraId="00F72A4C" w14:textId="77777777" w:rsidR="0086619D" w:rsidRPr="00CE3780" w:rsidRDefault="0086619D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6619D" w:rsidRPr="00CE3780" w14:paraId="10FAB65A" w14:textId="77777777" w:rsidTr="00966DBE">
        <w:tc>
          <w:tcPr>
            <w:tcW w:w="2695" w:type="dxa"/>
          </w:tcPr>
          <w:p w14:paraId="15F0CDD4" w14:textId="77777777" w:rsidR="0086619D" w:rsidRPr="00CE3780" w:rsidRDefault="0086619D" w:rsidP="00966DBE">
            <w:pPr>
              <w:rPr>
                <w:bCs/>
                <w:sz w:val="28"/>
                <w:szCs w:val="28"/>
              </w:rPr>
            </w:pPr>
            <w:r w:rsidRPr="00CE3780">
              <w:rPr>
                <w:bCs/>
                <w:sz w:val="28"/>
                <w:szCs w:val="28"/>
              </w:rPr>
              <w:t>Revision Date:</w:t>
            </w:r>
          </w:p>
        </w:tc>
        <w:tc>
          <w:tcPr>
            <w:tcW w:w="4680" w:type="dxa"/>
          </w:tcPr>
          <w:p w14:paraId="5214EB9C" w14:textId="77777777" w:rsidR="0086619D" w:rsidRPr="00CE3780" w:rsidRDefault="0086619D" w:rsidP="00966DB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75" w:type="dxa"/>
          </w:tcPr>
          <w:p w14:paraId="079F9A9A" w14:textId="533CD213" w:rsidR="0086619D" w:rsidRPr="0086619D" w:rsidRDefault="0086619D" w:rsidP="00966D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Policy 2</w:t>
            </w:r>
            <w:r w:rsidR="0062463D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.1</w:t>
            </w:r>
          </w:p>
        </w:tc>
      </w:tr>
    </w:tbl>
    <w:p w14:paraId="2DDE491E" w14:textId="5F5402F5" w:rsidR="00AB0C24" w:rsidRDefault="00AB0C24"/>
    <w:p w14:paraId="35026BF6" w14:textId="2C739D90" w:rsidR="0062463D" w:rsidRDefault="0062463D"/>
    <w:p w14:paraId="6A7077D3" w14:textId="5EDB5D84" w:rsidR="0062463D" w:rsidRPr="004965DF" w:rsidRDefault="0062463D">
      <w:pPr>
        <w:rPr>
          <w:b/>
          <w:bCs/>
          <w:sz w:val="32"/>
          <w:szCs w:val="32"/>
        </w:rPr>
      </w:pPr>
      <w:r w:rsidRPr="004965DF">
        <w:rPr>
          <w:b/>
          <w:bCs/>
          <w:sz w:val="32"/>
          <w:szCs w:val="32"/>
        </w:rPr>
        <w:t>Policy:</w:t>
      </w:r>
    </w:p>
    <w:p w14:paraId="209F7596" w14:textId="56AF0FD2" w:rsidR="0062463D" w:rsidRPr="004965DF" w:rsidRDefault="0062463D">
      <w:pPr>
        <w:rPr>
          <w:sz w:val="24"/>
          <w:szCs w:val="24"/>
        </w:rPr>
      </w:pPr>
      <w:r w:rsidRPr="004965DF">
        <w:rPr>
          <w:sz w:val="24"/>
          <w:szCs w:val="24"/>
        </w:rPr>
        <w:t xml:space="preserve">This policy applies to areas located </w:t>
      </w:r>
      <w:r w:rsidR="008F7545" w:rsidRPr="004965DF">
        <w:rPr>
          <w:sz w:val="24"/>
          <w:szCs w:val="24"/>
        </w:rPr>
        <w:t>outside the corporate city limits of the City of Kingston where sewer infrastructure already exists.</w:t>
      </w:r>
    </w:p>
    <w:p w14:paraId="14FECB5A" w14:textId="67BF5A28" w:rsidR="008F7545" w:rsidRPr="004965DF" w:rsidRDefault="008F7545" w:rsidP="0037642C">
      <w:pPr>
        <w:pStyle w:val="ListParagraph"/>
        <w:rPr>
          <w:sz w:val="24"/>
          <w:szCs w:val="24"/>
        </w:rPr>
      </w:pPr>
    </w:p>
    <w:p w14:paraId="62DA05B5" w14:textId="6BCECE32" w:rsidR="008F7545" w:rsidRPr="004965DF" w:rsidRDefault="0037642C" w:rsidP="008F754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65DF">
        <w:rPr>
          <w:sz w:val="24"/>
          <w:szCs w:val="24"/>
        </w:rPr>
        <w:t xml:space="preserve">Current </w:t>
      </w:r>
      <w:r w:rsidR="004965DF" w:rsidRPr="004965DF">
        <w:rPr>
          <w:sz w:val="24"/>
          <w:szCs w:val="24"/>
        </w:rPr>
        <w:t>KWD c</w:t>
      </w:r>
      <w:r w:rsidR="008F7545" w:rsidRPr="004965DF">
        <w:rPr>
          <w:sz w:val="24"/>
          <w:szCs w:val="24"/>
        </w:rPr>
        <w:t>ustomers will be allowed to connect to KWD sewer infrastructure</w:t>
      </w:r>
      <w:r w:rsidR="00E55D08" w:rsidRPr="004965DF">
        <w:rPr>
          <w:sz w:val="24"/>
          <w:szCs w:val="24"/>
        </w:rPr>
        <w:t xml:space="preserve"> according to the guidelines set forth in the </w:t>
      </w:r>
      <w:r w:rsidRPr="004965DF">
        <w:rPr>
          <w:sz w:val="24"/>
          <w:szCs w:val="24"/>
        </w:rPr>
        <w:t>“</w:t>
      </w:r>
      <w:r w:rsidR="00E55D08" w:rsidRPr="004965DF">
        <w:rPr>
          <w:sz w:val="24"/>
          <w:szCs w:val="24"/>
        </w:rPr>
        <w:t>City of Kingston Stand</w:t>
      </w:r>
      <w:r w:rsidRPr="004965DF">
        <w:rPr>
          <w:sz w:val="24"/>
          <w:szCs w:val="24"/>
        </w:rPr>
        <w:t>ard</w:t>
      </w:r>
      <w:r w:rsidR="00E55D08" w:rsidRPr="004965DF">
        <w:rPr>
          <w:sz w:val="24"/>
          <w:szCs w:val="24"/>
        </w:rPr>
        <w:t xml:space="preserve"> Sewer Specifications</w:t>
      </w:r>
      <w:r w:rsidRPr="004965DF">
        <w:rPr>
          <w:sz w:val="24"/>
          <w:szCs w:val="24"/>
        </w:rPr>
        <w:t>”</w:t>
      </w:r>
      <w:r w:rsidR="00E55D08" w:rsidRPr="004965DF">
        <w:rPr>
          <w:sz w:val="24"/>
          <w:szCs w:val="24"/>
        </w:rPr>
        <w:t>.</w:t>
      </w:r>
    </w:p>
    <w:p w14:paraId="6CAB92C2" w14:textId="40E84ADC" w:rsidR="00E55D08" w:rsidRPr="004965DF" w:rsidRDefault="00E55D08" w:rsidP="008F754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65DF">
        <w:rPr>
          <w:sz w:val="24"/>
          <w:szCs w:val="24"/>
        </w:rPr>
        <w:t>Customers requesting to connect are required to request an estimate from KWD for the connection.</w:t>
      </w:r>
    </w:p>
    <w:p w14:paraId="02170C16" w14:textId="4E61582E" w:rsidR="00E55D08" w:rsidRPr="004965DF" w:rsidRDefault="00E55D08" w:rsidP="008F754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65DF">
        <w:rPr>
          <w:sz w:val="24"/>
          <w:szCs w:val="24"/>
        </w:rPr>
        <w:t>Customers will be responsible for all costs associated with the connection including:</w:t>
      </w:r>
    </w:p>
    <w:p w14:paraId="0780AE89" w14:textId="3D12E87A" w:rsidR="00E55D08" w:rsidRPr="004965DF" w:rsidRDefault="00E55D08" w:rsidP="003764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65DF">
        <w:rPr>
          <w:sz w:val="24"/>
          <w:szCs w:val="24"/>
        </w:rPr>
        <w:t>Sewer User Fee</w:t>
      </w:r>
    </w:p>
    <w:p w14:paraId="196D5B7A" w14:textId="5D86E02F" w:rsidR="00E55D08" w:rsidRPr="004965DF" w:rsidRDefault="00E55D08" w:rsidP="0037642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65DF">
        <w:rPr>
          <w:sz w:val="24"/>
          <w:szCs w:val="24"/>
        </w:rPr>
        <w:t>Materials (</w:t>
      </w:r>
      <w:r w:rsidR="0037642C" w:rsidRPr="004965DF">
        <w:rPr>
          <w:sz w:val="24"/>
          <w:szCs w:val="24"/>
        </w:rPr>
        <w:t>i.e.,</w:t>
      </w:r>
      <w:r w:rsidRPr="004965DF">
        <w:rPr>
          <w:sz w:val="24"/>
          <w:szCs w:val="24"/>
        </w:rPr>
        <w:t xml:space="preserve"> </w:t>
      </w:r>
      <w:r w:rsidR="00E00CAE" w:rsidRPr="00DD09F7">
        <w:rPr>
          <w:sz w:val="24"/>
          <w:szCs w:val="24"/>
        </w:rPr>
        <w:t>Grinder Pump,</w:t>
      </w:r>
      <w:r w:rsidR="00E00CAE">
        <w:rPr>
          <w:sz w:val="24"/>
          <w:szCs w:val="24"/>
        </w:rPr>
        <w:t xml:space="preserve"> </w:t>
      </w:r>
      <w:r w:rsidRPr="004965DF">
        <w:rPr>
          <w:sz w:val="24"/>
          <w:szCs w:val="24"/>
        </w:rPr>
        <w:t>Sewer saddle, service line, road bore, sewer box, shut-off valves and check valves)</w:t>
      </w:r>
    </w:p>
    <w:p w14:paraId="752936DE" w14:textId="64F4992B" w:rsidR="00E55D08" w:rsidRDefault="00E55D08" w:rsidP="00E55D0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65DF">
        <w:rPr>
          <w:sz w:val="24"/>
          <w:szCs w:val="24"/>
        </w:rPr>
        <w:t>Customers will be responsible for</w:t>
      </w:r>
      <w:r w:rsidR="00B17A85">
        <w:rPr>
          <w:sz w:val="24"/>
          <w:szCs w:val="24"/>
        </w:rPr>
        <w:t xml:space="preserve"> </w:t>
      </w:r>
      <w:r w:rsidR="00B17A85" w:rsidRPr="00DD09F7">
        <w:rPr>
          <w:sz w:val="24"/>
          <w:szCs w:val="24"/>
        </w:rPr>
        <w:t xml:space="preserve">the installation and maintenance of </w:t>
      </w:r>
      <w:r w:rsidRPr="00DD09F7">
        <w:rPr>
          <w:sz w:val="24"/>
          <w:szCs w:val="24"/>
        </w:rPr>
        <w:t>infrastructure</w:t>
      </w:r>
      <w:r w:rsidRPr="004965DF">
        <w:rPr>
          <w:sz w:val="24"/>
          <w:szCs w:val="24"/>
        </w:rPr>
        <w:t xml:space="preserve"> from the point of the sewer box to their residence and/or business.</w:t>
      </w:r>
    </w:p>
    <w:p w14:paraId="65A3216B" w14:textId="4F00D0F1" w:rsidR="001652DA" w:rsidRDefault="00985100" w:rsidP="00E55D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Once connected the Customer will be responsible for monthly billing rates according to the </w:t>
      </w:r>
      <w:r w:rsidR="005B7991">
        <w:rPr>
          <w:sz w:val="24"/>
          <w:szCs w:val="24"/>
        </w:rPr>
        <w:t>published</w:t>
      </w:r>
      <w:r>
        <w:rPr>
          <w:sz w:val="24"/>
          <w:szCs w:val="24"/>
        </w:rPr>
        <w:t xml:space="preserve"> Sewer Rates.  </w:t>
      </w:r>
    </w:p>
    <w:p w14:paraId="05769E08" w14:textId="77777777" w:rsidR="001652DA" w:rsidRDefault="00985100" w:rsidP="001652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customer will also be automatically enrolled in the </w:t>
      </w:r>
      <w:proofErr w:type="spellStart"/>
      <w:r>
        <w:rPr>
          <w:sz w:val="24"/>
          <w:szCs w:val="24"/>
        </w:rPr>
        <w:t>Servline</w:t>
      </w:r>
      <w:proofErr w:type="spellEnd"/>
      <w:r>
        <w:rPr>
          <w:sz w:val="24"/>
          <w:szCs w:val="24"/>
        </w:rPr>
        <w:t xml:space="preserve"> Sewer Loss Protection coverage and will be billed accordingly. </w:t>
      </w:r>
    </w:p>
    <w:p w14:paraId="6A162E2A" w14:textId="34679973" w:rsidR="00985100" w:rsidRPr="001652DA" w:rsidRDefault="001652DA" w:rsidP="001652D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985100" w:rsidRPr="001652DA">
        <w:rPr>
          <w:i/>
          <w:iCs/>
          <w:sz w:val="24"/>
          <w:szCs w:val="24"/>
        </w:rPr>
        <w:t>Customer can opt-out of this coverage</w:t>
      </w:r>
      <w:r w:rsidRPr="001652DA">
        <w:rPr>
          <w:i/>
          <w:iCs/>
          <w:sz w:val="24"/>
          <w:szCs w:val="24"/>
        </w:rPr>
        <w:t>-See Water/Sewer Adjustment Policy</w:t>
      </w:r>
      <w:r>
        <w:rPr>
          <w:i/>
          <w:iCs/>
          <w:sz w:val="24"/>
          <w:szCs w:val="24"/>
        </w:rPr>
        <w:t>)</w:t>
      </w:r>
    </w:p>
    <w:p w14:paraId="14EB0A42" w14:textId="671B9DBA" w:rsidR="00985100" w:rsidRPr="001652DA" w:rsidRDefault="00985100" w:rsidP="001652D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1652DA">
        <w:rPr>
          <w:sz w:val="24"/>
          <w:szCs w:val="24"/>
        </w:rPr>
        <w:t>Servline</w:t>
      </w:r>
      <w:proofErr w:type="spellEnd"/>
      <w:r w:rsidRPr="001652DA">
        <w:rPr>
          <w:sz w:val="24"/>
          <w:szCs w:val="24"/>
        </w:rPr>
        <w:t xml:space="preserve"> Sewer Line coverage will be available to the Customer by contacting </w:t>
      </w:r>
      <w:proofErr w:type="spellStart"/>
      <w:r w:rsidRPr="001652DA">
        <w:rPr>
          <w:sz w:val="24"/>
          <w:szCs w:val="24"/>
        </w:rPr>
        <w:t>Servline</w:t>
      </w:r>
      <w:proofErr w:type="spellEnd"/>
      <w:r w:rsidRPr="001652DA">
        <w:rPr>
          <w:sz w:val="24"/>
          <w:szCs w:val="24"/>
        </w:rPr>
        <w:t xml:space="preserve"> directly</w:t>
      </w:r>
      <w:r w:rsidR="001652DA">
        <w:rPr>
          <w:sz w:val="24"/>
          <w:szCs w:val="24"/>
        </w:rPr>
        <w:t>.  Once KWD is notified of addition of this coverage the customer will be billed accordingly through KWD</w:t>
      </w:r>
    </w:p>
    <w:p w14:paraId="38681C9B" w14:textId="5957909D" w:rsidR="00E55D08" w:rsidRPr="004965DF" w:rsidRDefault="00E55D08" w:rsidP="00E55D08">
      <w:pPr>
        <w:rPr>
          <w:sz w:val="24"/>
          <w:szCs w:val="24"/>
        </w:rPr>
      </w:pPr>
      <w:r w:rsidRPr="004965DF">
        <w:rPr>
          <w:sz w:val="24"/>
          <w:szCs w:val="24"/>
        </w:rPr>
        <w:t xml:space="preserve">KWD will </w:t>
      </w:r>
      <w:r w:rsidR="0037642C" w:rsidRPr="004965DF">
        <w:rPr>
          <w:sz w:val="24"/>
          <w:szCs w:val="24"/>
        </w:rPr>
        <w:t>be responsible for obtaining any required permits associated with the road bore if applicable.</w:t>
      </w:r>
    </w:p>
    <w:p w14:paraId="0F53B96B" w14:textId="3B837FB7" w:rsidR="0037642C" w:rsidRPr="004965DF" w:rsidRDefault="0037642C" w:rsidP="00E55D08">
      <w:pPr>
        <w:rPr>
          <w:sz w:val="24"/>
          <w:szCs w:val="24"/>
        </w:rPr>
      </w:pPr>
      <w:r w:rsidRPr="004965DF">
        <w:rPr>
          <w:sz w:val="24"/>
          <w:szCs w:val="24"/>
        </w:rPr>
        <w:t>KWD will be responsible for ensuring that the “City of Kingston Standard Sewer Specifications” guidelines are met by the customer.</w:t>
      </w:r>
    </w:p>
    <w:sectPr w:rsidR="0037642C" w:rsidRPr="004965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116C" w14:textId="77777777" w:rsidR="001B4687" w:rsidRDefault="001B4687" w:rsidP="00AB0C24">
      <w:pPr>
        <w:spacing w:after="0" w:line="240" w:lineRule="auto"/>
      </w:pPr>
      <w:r>
        <w:separator/>
      </w:r>
    </w:p>
  </w:endnote>
  <w:endnote w:type="continuationSeparator" w:id="0">
    <w:p w14:paraId="37BB18D0" w14:textId="77777777" w:rsidR="001B4687" w:rsidRDefault="001B4687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A075" w14:textId="79C02FD8" w:rsidR="00824C01" w:rsidRDefault="001F2620">
    <w:pPr>
      <w:pStyle w:val="Footer"/>
    </w:pPr>
    <w:r>
      <w:t>KWD POLICY MANUAL</w:t>
    </w:r>
    <w:r>
      <w:ptab w:relativeTo="margin" w:alignment="center" w:leader="none"/>
    </w:r>
    <w:r>
      <w:t>Section 2</w:t>
    </w:r>
    <w:r w:rsidR="0037642C">
      <w:t>8</w:t>
    </w:r>
    <w:r>
      <w:t>.1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A5A9" w14:textId="77777777" w:rsidR="001B4687" w:rsidRDefault="001B4687" w:rsidP="00AB0C24">
      <w:pPr>
        <w:spacing w:after="0" w:line="240" w:lineRule="auto"/>
      </w:pPr>
      <w:r>
        <w:separator/>
      </w:r>
    </w:p>
  </w:footnote>
  <w:footnote w:type="continuationSeparator" w:id="0">
    <w:p w14:paraId="2F633F7D" w14:textId="77777777" w:rsidR="001B4687" w:rsidRDefault="001B4687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C05383"/>
    <w:multiLevelType w:val="hybridMultilevel"/>
    <w:tmpl w:val="E530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A01"/>
    <w:multiLevelType w:val="hybridMultilevel"/>
    <w:tmpl w:val="EB6E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7D2E"/>
    <w:multiLevelType w:val="hybridMultilevel"/>
    <w:tmpl w:val="ED7E8E04"/>
    <w:lvl w:ilvl="0" w:tplc="CAC8EF4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C517BB6"/>
    <w:multiLevelType w:val="hybridMultilevel"/>
    <w:tmpl w:val="A83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507"/>
    <w:multiLevelType w:val="hybridMultilevel"/>
    <w:tmpl w:val="FF00447E"/>
    <w:lvl w:ilvl="0" w:tplc="E88E3A54">
      <w:start w:val="1"/>
      <w:numFmt w:val="decimal"/>
      <w:lvlText w:val="(%1)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2716EEA"/>
    <w:multiLevelType w:val="hybridMultilevel"/>
    <w:tmpl w:val="CFE0621A"/>
    <w:lvl w:ilvl="0" w:tplc="26F8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041DC"/>
    <w:multiLevelType w:val="hybridMultilevel"/>
    <w:tmpl w:val="8C1CA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6123F"/>
    <w:multiLevelType w:val="hybridMultilevel"/>
    <w:tmpl w:val="FA2AA226"/>
    <w:lvl w:ilvl="0" w:tplc="EEB4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B5FC4"/>
    <w:multiLevelType w:val="hybridMultilevel"/>
    <w:tmpl w:val="B6962B62"/>
    <w:lvl w:ilvl="0" w:tplc="5B78987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2240EFE"/>
    <w:multiLevelType w:val="hybridMultilevel"/>
    <w:tmpl w:val="030AF1DA"/>
    <w:lvl w:ilvl="0" w:tplc="C93CAF3C">
      <w:start w:val="1"/>
      <w:numFmt w:val="lowerLetter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7787E07"/>
    <w:multiLevelType w:val="hybridMultilevel"/>
    <w:tmpl w:val="851A98C4"/>
    <w:lvl w:ilvl="0" w:tplc="049C19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C0A6B"/>
    <w:multiLevelType w:val="hybridMultilevel"/>
    <w:tmpl w:val="DD6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006296"/>
    <w:rsid w:val="000A228F"/>
    <w:rsid w:val="001652DA"/>
    <w:rsid w:val="00191327"/>
    <w:rsid w:val="001A4239"/>
    <w:rsid w:val="001B4687"/>
    <w:rsid w:val="001C0AFF"/>
    <w:rsid w:val="001F2620"/>
    <w:rsid w:val="0023625B"/>
    <w:rsid w:val="00274F5E"/>
    <w:rsid w:val="002F56C1"/>
    <w:rsid w:val="00347EF7"/>
    <w:rsid w:val="0037642C"/>
    <w:rsid w:val="003F3FE6"/>
    <w:rsid w:val="004965DF"/>
    <w:rsid w:val="004C2625"/>
    <w:rsid w:val="004D784B"/>
    <w:rsid w:val="005052DC"/>
    <w:rsid w:val="005B0F10"/>
    <w:rsid w:val="005B1561"/>
    <w:rsid w:val="005B2EEC"/>
    <w:rsid w:val="005B7991"/>
    <w:rsid w:val="005E1FA3"/>
    <w:rsid w:val="0060525B"/>
    <w:rsid w:val="0062463D"/>
    <w:rsid w:val="00633579"/>
    <w:rsid w:val="006E1146"/>
    <w:rsid w:val="006F0D0E"/>
    <w:rsid w:val="0082094E"/>
    <w:rsid w:val="00824C01"/>
    <w:rsid w:val="0084085D"/>
    <w:rsid w:val="0086619D"/>
    <w:rsid w:val="008972F1"/>
    <w:rsid w:val="008F7545"/>
    <w:rsid w:val="009766EA"/>
    <w:rsid w:val="00985100"/>
    <w:rsid w:val="00A16455"/>
    <w:rsid w:val="00A80211"/>
    <w:rsid w:val="00AB0C24"/>
    <w:rsid w:val="00AD0FC2"/>
    <w:rsid w:val="00AE4467"/>
    <w:rsid w:val="00B17A85"/>
    <w:rsid w:val="00B84B4E"/>
    <w:rsid w:val="00BB1C42"/>
    <w:rsid w:val="00BB326F"/>
    <w:rsid w:val="00BC0B37"/>
    <w:rsid w:val="00BD05C8"/>
    <w:rsid w:val="00BF5FDD"/>
    <w:rsid w:val="00CB7C49"/>
    <w:rsid w:val="00D36447"/>
    <w:rsid w:val="00D73FB7"/>
    <w:rsid w:val="00DD09F7"/>
    <w:rsid w:val="00DE3351"/>
    <w:rsid w:val="00E00CAE"/>
    <w:rsid w:val="00E55D08"/>
    <w:rsid w:val="00E65C1C"/>
    <w:rsid w:val="00E75BC0"/>
    <w:rsid w:val="00E920B9"/>
    <w:rsid w:val="00E932D1"/>
    <w:rsid w:val="00ED2FC2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  <w:style w:type="table" w:styleId="TableGrid">
    <w:name w:val="Table Grid"/>
    <w:basedOn w:val="TableNormal"/>
    <w:uiPriority w:val="39"/>
    <w:rsid w:val="0086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 Jackson</cp:lastModifiedBy>
  <cp:revision>8</cp:revision>
  <cp:lastPrinted>2021-01-29T17:16:00Z</cp:lastPrinted>
  <dcterms:created xsi:type="dcterms:W3CDTF">2021-01-29T16:07:00Z</dcterms:created>
  <dcterms:modified xsi:type="dcterms:W3CDTF">2021-02-09T14:50:00Z</dcterms:modified>
</cp:coreProperties>
</file>